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E238" w14:textId="59C515CE" w:rsidR="00484841" w:rsidRPr="001E29CE" w:rsidRDefault="00484841" w:rsidP="006F3C24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</w:rPr>
      </w:pPr>
      <w:r w:rsidRPr="001E29CE">
        <w:rPr>
          <w:b/>
          <w:bCs/>
          <w:color w:val="000000" w:themeColor="text1"/>
          <w:sz w:val="24"/>
          <w:szCs w:val="24"/>
        </w:rPr>
        <w:t>Using the Template:</w:t>
      </w:r>
    </w:p>
    <w:p w14:paraId="1EC23DFB" w14:textId="62277005" w:rsidR="000E7D7A" w:rsidRPr="001E29CE" w:rsidRDefault="00712F0F" w:rsidP="00484841">
      <w:pPr>
        <w:pStyle w:val="BodyText"/>
        <w:spacing w:before="213" w:line="237" w:lineRule="auto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 xml:space="preserve">These are suggested guidelines for an adult DXA report in the United States. This template should be altered based on clinical judgment, Federal, </w:t>
      </w:r>
      <w:proofErr w:type="gramStart"/>
      <w:r w:rsidRPr="001E29CE">
        <w:rPr>
          <w:color w:val="000000" w:themeColor="text1"/>
          <w:sz w:val="24"/>
          <w:szCs w:val="24"/>
        </w:rPr>
        <w:t>state</w:t>
      </w:r>
      <w:proofErr w:type="gramEnd"/>
      <w:r w:rsidRPr="001E29CE">
        <w:rPr>
          <w:color w:val="000000" w:themeColor="text1"/>
          <w:sz w:val="24"/>
          <w:szCs w:val="24"/>
        </w:rPr>
        <w:t xml:space="preserve"> or local regulations, local facility preferences</w:t>
      </w:r>
      <w:r w:rsidR="000E7D7A" w:rsidRPr="001E29CE">
        <w:rPr>
          <w:color w:val="000000" w:themeColor="text1"/>
          <w:sz w:val="24"/>
          <w:szCs w:val="24"/>
        </w:rPr>
        <w:t xml:space="preserve"> and technological approaches</w:t>
      </w:r>
      <w:r w:rsidR="00ED3959" w:rsidRPr="009F2D17">
        <w:rPr>
          <w:color w:val="000000" w:themeColor="text1"/>
          <w:sz w:val="24"/>
          <w:szCs w:val="24"/>
        </w:rPr>
        <w:t>. Addit</w:t>
      </w:r>
      <w:r w:rsidR="00DA38B2">
        <w:rPr>
          <w:color w:val="000000" w:themeColor="text1"/>
          <w:sz w:val="24"/>
          <w:szCs w:val="24"/>
        </w:rPr>
        <w:t>i</w:t>
      </w:r>
      <w:r w:rsidR="00ED3959" w:rsidRPr="009F2D17">
        <w:rPr>
          <w:color w:val="000000" w:themeColor="text1"/>
          <w:sz w:val="24"/>
          <w:szCs w:val="24"/>
        </w:rPr>
        <w:t xml:space="preserve">onally, it may be </w:t>
      </w:r>
      <w:r w:rsidR="00D750A1" w:rsidRPr="001E29CE">
        <w:rPr>
          <w:color w:val="000000" w:themeColor="text1"/>
          <w:sz w:val="24"/>
          <w:szCs w:val="24"/>
        </w:rPr>
        <w:t xml:space="preserve">segmented into </w:t>
      </w:r>
      <w:r w:rsidR="00D750A1" w:rsidRPr="009F2D17">
        <w:rPr>
          <w:color w:val="000000" w:themeColor="text1"/>
          <w:sz w:val="24"/>
          <w:szCs w:val="24"/>
        </w:rPr>
        <w:t xml:space="preserve">separate </w:t>
      </w:r>
      <w:r w:rsidR="00DA38B2">
        <w:rPr>
          <w:color w:val="000000" w:themeColor="text1"/>
          <w:sz w:val="24"/>
          <w:szCs w:val="24"/>
        </w:rPr>
        <w:t>reports</w:t>
      </w:r>
      <w:r w:rsidR="00D750A1" w:rsidRPr="009F2D17">
        <w:rPr>
          <w:color w:val="000000" w:themeColor="text1"/>
          <w:sz w:val="24"/>
          <w:szCs w:val="24"/>
        </w:rPr>
        <w:t xml:space="preserve"> (VFA, FFI) for compliance with local and</w:t>
      </w:r>
      <w:r w:rsidR="00DA38B2">
        <w:rPr>
          <w:color w:val="000000" w:themeColor="text1"/>
          <w:sz w:val="24"/>
          <w:szCs w:val="24"/>
        </w:rPr>
        <w:t>/or</w:t>
      </w:r>
      <w:r w:rsidR="00D750A1" w:rsidRPr="009F2D17">
        <w:rPr>
          <w:color w:val="000000" w:themeColor="text1"/>
          <w:sz w:val="24"/>
          <w:szCs w:val="24"/>
        </w:rPr>
        <w:t xml:space="preserve"> administrative requirements</w:t>
      </w:r>
      <w:r w:rsidR="000E7D7A" w:rsidRPr="001E29CE">
        <w:rPr>
          <w:color w:val="000000" w:themeColor="text1"/>
          <w:sz w:val="24"/>
          <w:szCs w:val="24"/>
        </w:rPr>
        <w:t>. Blank areas with underlining indicate where something needs to be inserted, in some cases</w:t>
      </w:r>
      <w:r w:rsidR="00484841" w:rsidRPr="001E29CE">
        <w:rPr>
          <w:color w:val="000000" w:themeColor="text1"/>
          <w:sz w:val="24"/>
          <w:szCs w:val="24"/>
        </w:rPr>
        <w:t>,</w:t>
      </w:r>
      <w:r w:rsidR="000E7D7A" w:rsidRPr="001E29CE">
        <w:rPr>
          <w:color w:val="000000" w:themeColor="text1"/>
          <w:sz w:val="24"/>
          <w:szCs w:val="24"/>
        </w:rPr>
        <w:t xml:space="preserve"> prompts are placed in the blank areas. The template reflects the ISCD </w:t>
      </w:r>
      <w:r w:rsidR="00C935D2" w:rsidRPr="001E29CE">
        <w:rPr>
          <w:color w:val="000000" w:themeColor="text1"/>
          <w:sz w:val="24"/>
          <w:szCs w:val="24"/>
        </w:rPr>
        <w:t>O</w:t>
      </w:r>
      <w:r w:rsidR="000E7D7A" w:rsidRPr="001E29CE">
        <w:rPr>
          <w:color w:val="000000" w:themeColor="text1"/>
          <w:sz w:val="24"/>
          <w:szCs w:val="24"/>
        </w:rPr>
        <w:t xml:space="preserve">fficial </w:t>
      </w:r>
      <w:r w:rsidR="00C935D2" w:rsidRPr="001E29CE">
        <w:rPr>
          <w:color w:val="000000" w:themeColor="text1"/>
          <w:sz w:val="24"/>
          <w:szCs w:val="24"/>
        </w:rPr>
        <w:t>P</w:t>
      </w:r>
      <w:r w:rsidR="000E7D7A" w:rsidRPr="001E29CE">
        <w:rPr>
          <w:color w:val="000000" w:themeColor="text1"/>
          <w:sz w:val="24"/>
          <w:szCs w:val="24"/>
        </w:rPr>
        <w:t xml:space="preserve">ositions, please refer to these for questions regarding DXA indications, diagnosis, reporting and fracture risk assessment </w:t>
      </w:r>
      <w:r w:rsidR="009B3617" w:rsidRPr="001E29CE">
        <w:rPr>
          <w:color w:val="000000" w:themeColor="text1"/>
          <w:sz w:val="24"/>
          <w:szCs w:val="24"/>
        </w:rPr>
        <w:t>(</w:t>
      </w:r>
      <w:r w:rsidR="000E7D7A" w:rsidRPr="001E29CE">
        <w:rPr>
          <w:color w:val="000000" w:themeColor="text1"/>
          <w:sz w:val="24"/>
          <w:szCs w:val="24"/>
        </w:rPr>
        <w:t>iscd.org/learn/</w:t>
      </w:r>
      <w:proofErr w:type="gramStart"/>
      <w:r w:rsidR="000E7D7A" w:rsidRPr="001E29CE">
        <w:rPr>
          <w:color w:val="000000" w:themeColor="text1"/>
          <w:sz w:val="24"/>
          <w:szCs w:val="24"/>
        </w:rPr>
        <w:t>official-positions</w:t>
      </w:r>
      <w:proofErr w:type="gramEnd"/>
      <w:r w:rsidR="000E7D7A" w:rsidRPr="001E29CE">
        <w:rPr>
          <w:color w:val="000000" w:themeColor="text1"/>
          <w:sz w:val="24"/>
          <w:szCs w:val="24"/>
        </w:rPr>
        <w:t>/</w:t>
      </w:r>
      <w:r w:rsidR="009B3617" w:rsidRPr="001E29CE">
        <w:rPr>
          <w:color w:val="000000" w:themeColor="text1"/>
          <w:sz w:val="24"/>
          <w:szCs w:val="24"/>
        </w:rPr>
        <w:t>)</w:t>
      </w:r>
      <w:r w:rsidR="000E7D7A" w:rsidRPr="001E29CE">
        <w:rPr>
          <w:color w:val="000000" w:themeColor="text1"/>
          <w:sz w:val="24"/>
          <w:szCs w:val="24"/>
        </w:rPr>
        <w:t>.</w:t>
      </w:r>
    </w:p>
    <w:p w14:paraId="74D7408A" w14:textId="77777777" w:rsidR="00C935D2" w:rsidRPr="001E29CE" w:rsidRDefault="00C935D2" w:rsidP="006F3C24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26FE98BC" w14:textId="242BC3BB" w:rsidR="009B3617" w:rsidRPr="001E29CE" w:rsidRDefault="009B3617" w:rsidP="00484841">
      <w:pPr>
        <w:pStyle w:val="BodyText"/>
        <w:spacing w:before="213" w:line="237" w:lineRule="auto"/>
        <w:rPr>
          <w:b/>
          <w:bCs/>
          <w:color w:val="000000" w:themeColor="text1"/>
          <w:sz w:val="24"/>
          <w:szCs w:val="24"/>
        </w:rPr>
      </w:pPr>
      <w:r w:rsidRPr="001E29CE">
        <w:rPr>
          <w:b/>
          <w:bCs/>
          <w:color w:val="000000" w:themeColor="text1"/>
          <w:sz w:val="24"/>
          <w:szCs w:val="24"/>
        </w:rPr>
        <w:t>Excerpts from Official Positions:</w:t>
      </w:r>
    </w:p>
    <w:p w14:paraId="74139AEA" w14:textId="64522FB7" w:rsidR="00F03372" w:rsidRPr="001E29CE" w:rsidRDefault="00F03372" w:rsidP="00484841">
      <w:pPr>
        <w:pStyle w:val="BodyText"/>
        <w:spacing w:before="213" w:line="237" w:lineRule="auto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>Do not report fewer than 2 vertebral bodies.</w:t>
      </w:r>
    </w:p>
    <w:p w14:paraId="3E00943B" w14:textId="52FF1F4C" w:rsidR="009B3617" w:rsidRPr="001E29CE" w:rsidRDefault="009B3617" w:rsidP="00484841">
      <w:pPr>
        <w:pStyle w:val="BodyText"/>
        <w:spacing w:before="213" w:line="237" w:lineRule="auto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 xml:space="preserve">Report T-score in postmenopausal women and men age </w:t>
      </w:r>
      <w:r w:rsidR="001E2E2A" w:rsidRPr="001E29CE">
        <w:rPr>
          <w:color w:val="000000" w:themeColor="text1"/>
          <w:sz w:val="24"/>
          <w:szCs w:val="24"/>
        </w:rPr>
        <w:t xml:space="preserve">≥ </w:t>
      </w:r>
      <w:r w:rsidRPr="001E29CE">
        <w:rPr>
          <w:color w:val="000000" w:themeColor="text1"/>
          <w:sz w:val="24"/>
          <w:szCs w:val="24"/>
        </w:rPr>
        <w:t>50</w:t>
      </w:r>
      <w:r w:rsidR="001E2E2A" w:rsidRPr="001E29CE">
        <w:rPr>
          <w:color w:val="000000" w:themeColor="text1"/>
          <w:sz w:val="24"/>
          <w:szCs w:val="24"/>
        </w:rPr>
        <w:t xml:space="preserve"> years. </w:t>
      </w:r>
      <w:r w:rsidRPr="001E29CE">
        <w:rPr>
          <w:color w:val="000000" w:themeColor="text1"/>
          <w:sz w:val="24"/>
          <w:szCs w:val="24"/>
        </w:rPr>
        <w:t>Report Z</w:t>
      </w:r>
      <w:r w:rsidRPr="001E29CE">
        <w:rPr>
          <w:rFonts w:ascii="Cambria Math" w:hAnsi="Cambria Math" w:cs="Cambria Math"/>
          <w:color w:val="000000" w:themeColor="text1"/>
          <w:sz w:val="24"/>
          <w:szCs w:val="24"/>
        </w:rPr>
        <w:t>‐</w:t>
      </w:r>
      <w:r w:rsidRPr="001E29CE">
        <w:rPr>
          <w:color w:val="000000" w:themeColor="text1"/>
          <w:sz w:val="24"/>
          <w:szCs w:val="24"/>
        </w:rPr>
        <w:t>score in premenopausal women and men &lt; age 50</w:t>
      </w:r>
      <w:r w:rsidR="001E2E2A" w:rsidRPr="001E29CE">
        <w:rPr>
          <w:color w:val="000000" w:themeColor="text1"/>
          <w:sz w:val="24"/>
          <w:szCs w:val="24"/>
        </w:rPr>
        <w:t xml:space="preserve"> years.</w:t>
      </w:r>
    </w:p>
    <w:p w14:paraId="48CC11AB" w14:textId="79FA0561" w:rsidR="009B3617" w:rsidRPr="001E29CE" w:rsidRDefault="009B3617" w:rsidP="00AA5E47">
      <w:pPr>
        <w:pStyle w:val="BodyText"/>
        <w:numPr>
          <w:ilvl w:val="0"/>
          <w:numId w:val="3"/>
        </w:numPr>
        <w:spacing w:before="213" w:line="237" w:lineRule="auto"/>
        <w:ind w:left="720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>Apply WHO diagnostic criteria to lowest reported T-score for diagnosis</w:t>
      </w:r>
      <w:r w:rsidR="00F03372" w:rsidRPr="001E29CE">
        <w:rPr>
          <w:color w:val="000000" w:themeColor="text1"/>
          <w:sz w:val="24"/>
          <w:szCs w:val="24"/>
        </w:rPr>
        <w:t>; The WHO diagnostic criteria may be applied in women in the menopausal transition.</w:t>
      </w:r>
    </w:p>
    <w:p w14:paraId="63D1EE33" w14:textId="77777777" w:rsidR="005A7C28" w:rsidRPr="001E29CE" w:rsidRDefault="005A7C28" w:rsidP="005A7C28">
      <w:pPr>
        <w:pStyle w:val="BodyText"/>
        <w:numPr>
          <w:ilvl w:val="0"/>
          <w:numId w:val="3"/>
        </w:numPr>
        <w:spacing w:before="213" w:line="237" w:lineRule="auto"/>
        <w:ind w:left="720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>When both hips have been scanned, the lowest T-score (or Z-score) of the right or left femoral neck or total hip should be used for diagnostic classification, but not the mean T-score (or Z-score).</w:t>
      </w:r>
    </w:p>
    <w:p w14:paraId="5E5596CF" w14:textId="272DBC79" w:rsidR="00F03372" w:rsidRPr="001E29CE" w:rsidRDefault="00F03372" w:rsidP="00AA5E47">
      <w:pPr>
        <w:pStyle w:val="BodyText"/>
        <w:numPr>
          <w:ilvl w:val="0"/>
          <w:numId w:val="3"/>
        </w:numPr>
        <w:spacing w:before="213" w:line="237" w:lineRule="auto"/>
        <w:ind w:left="720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 xml:space="preserve">A Z-score of -2.0 or lower is defined as </w:t>
      </w:r>
      <w:r w:rsidR="00C935D2" w:rsidRPr="001E29CE">
        <w:rPr>
          <w:color w:val="000000" w:themeColor="text1"/>
          <w:sz w:val="24"/>
          <w:szCs w:val="24"/>
        </w:rPr>
        <w:t>“</w:t>
      </w:r>
      <w:r w:rsidRPr="001E29CE">
        <w:rPr>
          <w:color w:val="000000" w:themeColor="text1"/>
          <w:sz w:val="24"/>
          <w:szCs w:val="24"/>
        </w:rPr>
        <w:t>below the expected range for age</w:t>
      </w:r>
      <w:r w:rsidR="00C935D2" w:rsidRPr="001E29CE">
        <w:rPr>
          <w:color w:val="000000" w:themeColor="text1"/>
          <w:sz w:val="24"/>
          <w:szCs w:val="24"/>
        </w:rPr>
        <w:t>”</w:t>
      </w:r>
      <w:r w:rsidRPr="001E29CE">
        <w:rPr>
          <w:color w:val="000000" w:themeColor="text1"/>
          <w:sz w:val="24"/>
          <w:szCs w:val="24"/>
        </w:rPr>
        <w:t xml:space="preserve"> and a Z-score above -2.0 is </w:t>
      </w:r>
      <w:r w:rsidR="00C935D2" w:rsidRPr="001E29CE">
        <w:rPr>
          <w:color w:val="000000" w:themeColor="text1"/>
          <w:sz w:val="24"/>
          <w:szCs w:val="24"/>
        </w:rPr>
        <w:t>“</w:t>
      </w:r>
      <w:r w:rsidRPr="001E29CE">
        <w:rPr>
          <w:color w:val="000000" w:themeColor="text1"/>
          <w:sz w:val="24"/>
          <w:szCs w:val="24"/>
        </w:rPr>
        <w:t>within the expected range for age.</w:t>
      </w:r>
      <w:r w:rsidR="00C935D2" w:rsidRPr="001E29CE">
        <w:rPr>
          <w:color w:val="000000" w:themeColor="text1"/>
          <w:sz w:val="24"/>
          <w:szCs w:val="24"/>
        </w:rPr>
        <w:t>”</w:t>
      </w:r>
    </w:p>
    <w:p w14:paraId="742898D3" w14:textId="2D5305C8" w:rsidR="009B3617" w:rsidRPr="001E29CE" w:rsidRDefault="009B3617" w:rsidP="00484841">
      <w:pPr>
        <w:pStyle w:val="BodyText"/>
        <w:spacing w:before="213" w:line="237" w:lineRule="auto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 xml:space="preserve">Assess change </w:t>
      </w:r>
      <w:r w:rsidR="00484841" w:rsidRPr="001E29CE">
        <w:rPr>
          <w:color w:val="000000" w:themeColor="text1"/>
          <w:sz w:val="24"/>
          <w:szCs w:val="24"/>
        </w:rPr>
        <w:t>using</w:t>
      </w:r>
      <w:r w:rsidRPr="001E29CE">
        <w:rPr>
          <w:color w:val="000000" w:themeColor="text1"/>
          <w:sz w:val="24"/>
          <w:szCs w:val="24"/>
        </w:rPr>
        <w:t xml:space="preserve"> difference in g/cm</w:t>
      </w:r>
      <w:r w:rsidRPr="001E29CE">
        <w:rPr>
          <w:color w:val="000000" w:themeColor="text1"/>
          <w:sz w:val="24"/>
          <w:szCs w:val="24"/>
          <w:vertAlign w:val="superscript"/>
        </w:rPr>
        <w:t>2</w:t>
      </w:r>
      <w:r w:rsidRPr="001E29CE">
        <w:rPr>
          <w:color w:val="000000" w:themeColor="text1"/>
          <w:sz w:val="24"/>
          <w:szCs w:val="24"/>
        </w:rPr>
        <w:t>, report stable BMD to values less than facility LSC. Do not apply LSC to scans acquired on different instruments that are not cross-calibrated.</w:t>
      </w:r>
    </w:p>
    <w:p w14:paraId="4A2DB92D" w14:textId="77777777" w:rsidR="005A7C28" w:rsidRPr="001E29CE" w:rsidRDefault="005A7C28" w:rsidP="005A7C28">
      <w:pPr>
        <w:pStyle w:val="BodyText"/>
        <w:numPr>
          <w:ilvl w:val="0"/>
          <w:numId w:val="7"/>
        </w:numPr>
        <w:spacing w:before="213" w:line="237" w:lineRule="auto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>When both hips have been scanned on repeat tests, mean bilateral total hip BMD should be used for monitoring.</w:t>
      </w:r>
    </w:p>
    <w:p w14:paraId="3D808A62" w14:textId="3C2BD1F6" w:rsidR="001E29CE" w:rsidRPr="009F2D17" w:rsidRDefault="001E29CE" w:rsidP="001E29CE">
      <w:pPr>
        <w:pStyle w:val="BodyText"/>
        <w:adjustRightInd w:val="0"/>
        <w:spacing w:before="213"/>
        <w:rPr>
          <w:color w:val="000000" w:themeColor="text1"/>
          <w:sz w:val="24"/>
          <w:szCs w:val="24"/>
        </w:rPr>
      </w:pPr>
      <w:r w:rsidRPr="009F2D17">
        <w:rPr>
          <w:color w:val="000000" w:themeColor="text1"/>
          <w:sz w:val="24"/>
          <w:szCs w:val="24"/>
        </w:rPr>
        <w:t xml:space="preserve">When TBS is </w:t>
      </w:r>
      <w:r>
        <w:rPr>
          <w:color w:val="000000" w:themeColor="text1"/>
          <w:sz w:val="24"/>
          <w:szCs w:val="24"/>
        </w:rPr>
        <w:t>available</w:t>
      </w:r>
      <w:r w:rsidRPr="009F2D17">
        <w:rPr>
          <w:color w:val="000000" w:themeColor="text1"/>
          <w:sz w:val="24"/>
          <w:szCs w:val="24"/>
        </w:rPr>
        <w:t>:</w:t>
      </w:r>
    </w:p>
    <w:p w14:paraId="0CC741DE" w14:textId="51530328" w:rsidR="001E29CE" w:rsidRPr="009F2D17" w:rsidRDefault="001E29CE" w:rsidP="001E29CE">
      <w:pPr>
        <w:pStyle w:val="BodyText"/>
        <w:numPr>
          <w:ilvl w:val="0"/>
          <w:numId w:val="7"/>
        </w:numPr>
        <w:adjustRightInd w:val="0"/>
        <w:spacing w:before="21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Pr="009F2D17">
        <w:rPr>
          <w:color w:val="000000" w:themeColor="text1"/>
          <w:sz w:val="24"/>
          <w:szCs w:val="24"/>
        </w:rPr>
        <w:t>s appropriate in adults aged ≥ 40 years. </w:t>
      </w:r>
    </w:p>
    <w:p w14:paraId="3BC25B20" w14:textId="7D6338DB" w:rsidR="001E29CE" w:rsidRPr="009F2D17" w:rsidRDefault="001E29CE" w:rsidP="001E29CE">
      <w:pPr>
        <w:pStyle w:val="BodyText"/>
        <w:numPr>
          <w:ilvl w:val="0"/>
          <w:numId w:val="7"/>
        </w:numPr>
        <w:adjustRightInd w:val="0"/>
        <w:spacing w:before="21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Pr="009F2D17">
        <w:rPr>
          <w:color w:val="000000" w:themeColor="text1"/>
          <w:sz w:val="24"/>
          <w:szCs w:val="24"/>
        </w:rPr>
        <w:t>hould be performed only within BMI range recommended by the manufacturer and can be used regardless of sex, race/ethnicity and prior or current osteoporosis treatment.</w:t>
      </w:r>
    </w:p>
    <w:p w14:paraId="64CA84C4" w14:textId="63FE1D55" w:rsidR="001E29CE" w:rsidRPr="009F2D17" w:rsidRDefault="001E29CE" w:rsidP="001E29CE">
      <w:pPr>
        <w:pStyle w:val="BodyText"/>
        <w:numPr>
          <w:ilvl w:val="0"/>
          <w:numId w:val="7"/>
        </w:numPr>
        <w:adjustRightInd w:val="0"/>
        <w:spacing w:before="213"/>
        <w:rPr>
          <w:color w:val="000000" w:themeColor="text1"/>
          <w:sz w:val="24"/>
          <w:szCs w:val="24"/>
        </w:rPr>
      </w:pPr>
      <w:r w:rsidRPr="009F2D17">
        <w:rPr>
          <w:color w:val="000000" w:themeColor="text1"/>
          <w:sz w:val="24"/>
          <w:szCs w:val="24"/>
        </w:rPr>
        <w:t>L1-L4 vertebral levels, without exclusions, should be used for TBS measurement and to calculate TBS-adjusted FRAX probabilities even in the presence</w:t>
      </w:r>
      <w:r>
        <w:rPr>
          <w:color w:val="000000" w:themeColor="text1"/>
          <w:sz w:val="24"/>
          <w:szCs w:val="24"/>
        </w:rPr>
        <w:t xml:space="preserve"> of moderate </w:t>
      </w:r>
      <w:r w:rsidRPr="009F2D17">
        <w:rPr>
          <w:color w:val="000000" w:themeColor="text1"/>
          <w:sz w:val="24"/>
          <w:szCs w:val="24"/>
        </w:rPr>
        <w:t>degenerative changes and chronic lumbar compression fractures. It is recommended not to report TBS if there is severe structural or pathological artifact (e.g., vertebra plana, laminectomy, hardware, metastatic lesions).</w:t>
      </w:r>
    </w:p>
    <w:p w14:paraId="689A3EA3" w14:textId="3F0FCBC6" w:rsidR="001E29CE" w:rsidRPr="009F2D17" w:rsidRDefault="001E29CE" w:rsidP="001E29CE">
      <w:pPr>
        <w:pStyle w:val="BodyText"/>
        <w:numPr>
          <w:ilvl w:val="0"/>
          <w:numId w:val="7"/>
        </w:numPr>
        <w:adjustRightInd w:val="0"/>
        <w:spacing w:before="213"/>
        <w:rPr>
          <w:color w:val="000000" w:themeColor="text1"/>
          <w:sz w:val="24"/>
          <w:szCs w:val="24"/>
        </w:rPr>
      </w:pPr>
      <w:r w:rsidRPr="009F2D17">
        <w:rPr>
          <w:color w:val="000000" w:themeColor="text1"/>
          <w:sz w:val="24"/>
          <w:szCs w:val="24"/>
        </w:rPr>
        <w:t>When available, use the TBS value for adjusting and reporting fracture risk.</w:t>
      </w:r>
    </w:p>
    <w:p w14:paraId="5C093EC6" w14:textId="5E4AA921" w:rsidR="001E29CE" w:rsidRPr="009F2D17" w:rsidRDefault="001E29CE" w:rsidP="009F2D17">
      <w:pPr>
        <w:pStyle w:val="BodyText"/>
        <w:numPr>
          <w:ilvl w:val="0"/>
          <w:numId w:val="7"/>
        </w:numPr>
        <w:adjustRightInd w:val="0"/>
        <w:spacing w:before="213"/>
        <w:rPr>
          <w:color w:val="000000" w:themeColor="text1"/>
          <w:sz w:val="24"/>
          <w:szCs w:val="24"/>
        </w:rPr>
      </w:pPr>
      <w:r w:rsidRPr="009F2D17">
        <w:rPr>
          <w:color w:val="000000" w:themeColor="text1"/>
          <w:sz w:val="24"/>
          <w:szCs w:val="24"/>
        </w:rPr>
        <w:t>In routine clinical practice, monitoring and reporting TBS change is not recommended. </w:t>
      </w:r>
    </w:p>
    <w:p w14:paraId="399DBDC4" w14:textId="4C102ED0" w:rsidR="00F03372" w:rsidRPr="001E29CE" w:rsidRDefault="00F03372" w:rsidP="00484841">
      <w:pPr>
        <w:pStyle w:val="BodyText"/>
        <w:widowControl/>
        <w:adjustRightInd w:val="0"/>
        <w:spacing w:before="213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lastRenderedPageBreak/>
        <w:t>In the United States, insert FRAX fracture risk estimates in patients with osteopenia in accordance with the ISCD/NOF recommendations</w:t>
      </w:r>
      <w:r w:rsidR="009F68B9" w:rsidRPr="001E29CE">
        <w:rPr>
          <w:color w:val="000000" w:themeColor="text1"/>
          <w:sz w:val="24"/>
          <w:szCs w:val="24"/>
        </w:rPr>
        <w:t xml:space="preserve"> including the positive </w:t>
      </w:r>
      <w:r w:rsidR="006A3F43" w:rsidRPr="001E29CE">
        <w:rPr>
          <w:color w:val="000000" w:themeColor="text1"/>
          <w:sz w:val="24"/>
          <w:szCs w:val="24"/>
        </w:rPr>
        <w:t>risk factors</w:t>
      </w:r>
      <w:r w:rsidR="009F68B9" w:rsidRPr="001E29CE">
        <w:rPr>
          <w:color w:val="000000" w:themeColor="text1"/>
          <w:sz w:val="24"/>
          <w:szCs w:val="24"/>
        </w:rPr>
        <w:t xml:space="preserve"> used in the calculation</w:t>
      </w:r>
      <w:r w:rsidRPr="001E29CE">
        <w:rPr>
          <w:color w:val="000000" w:themeColor="text1"/>
          <w:sz w:val="24"/>
          <w:szCs w:val="24"/>
        </w:rPr>
        <w:t>. Consider adding a</w:t>
      </w:r>
      <w:r w:rsidR="00484841" w:rsidRPr="001E29CE">
        <w:rPr>
          <w:color w:val="000000" w:themeColor="text1"/>
          <w:sz w:val="24"/>
          <w:szCs w:val="24"/>
        </w:rPr>
        <w:t xml:space="preserve"> </w:t>
      </w:r>
      <w:r w:rsidRPr="001E29CE">
        <w:rPr>
          <w:color w:val="000000" w:themeColor="text1"/>
          <w:sz w:val="24"/>
          <w:szCs w:val="24"/>
        </w:rPr>
        <w:t>general/</w:t>
      </w:r>
      <w:r w:rsidR="00484841" w:rsidRPr="001E29CE">
        <w:rPr>
          <w:color w:val="000000" w:themeColor="text1"/>
          <w:sz w:val="24"/>
          <w:szCs w:val="24"/>
        </w:rPr>
        <w:t xml:space="preserve"> </w:t>
      </w:r>
      <w:r w:rsidRPr="001E29CE">
        <w:rPr>
          <w:color w:val="000000" w:themeColor="text1"/>
          <w:sz w:val="24"/>
          <w:szCs w:val="24"/>
        </w:rPr>
        <w:t>qualitative fracture risk statement if a quantitative risk method like FRAX is not utilized.</w:t>
      </w:r>
    </w:p>
    <w:p w14:paraId="32E03A07" w14:textId="37722A10" w:rsidR="009F68B9" w:rsidRPr="001E29CE" w:rsidRDefault="009F68B9" w:rsidP="00484841">
      <w:pPr>
        <w:pStyle w:val="BodyText"/>
        <w:widowControl/>
        <w:adjustRightInd w:val="0"/>
        <w:spacing w:before="213"/>
        <w:rPr>
          <w:color w:val="000000" w:themeColor="text1"/>
          <w:sz w:val="24"/>
          <w:szCs w:val="24"/>
        </w:rPr>
      </w:pPr>
      <w:r w:rsidRPr="001E29CE">
        <w:rPr>
          <w:color w:val="000000" w:themeColor="text1"/>
          <w:sz w:val="24"/>
          <w:szCs w:val="24"/>
        </w:rPr>
        <w:t>If another fracture risk calculator is used (</w:t>
      </w:r>
      <w:proofErr w:type="spellStart"/>
      <w:r w:rsidRPr="001E29CE">
        <w:rPr>
          <w:color w:val="000000" w:themeColor="text1"/>
          <w:sz w:val="24"/>
          <w:szCs w:val="24"/>
        </w:rPr>
        <w:t>Garvan</w:t>
      </w:r>
      <w:proofErr w:type="spellEnd"/>
      <w:r w:rsidRPr="001E29CE"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1E29CE">
        <w:rPr>
          <w:color w:val="000000" w:themeColor="text1"/>
          <w:sz w:val="24"/>
          <w:szCs w:val="24"/>
        </w:rPr>
        <w:t>QFracture,etc</w:t>
      </w:r>
      <w:proofErr w:type="spellEnd"/>
      <w:r w:rsidRPr="001E29CE">
        <w:rPr>
          <w:color w:val="000000" w:themeColor="text1"/>
          <w:sz w:val="24"/>
          <w:szCs w:val="24"/>
        </w:rPr>
        <w:t>.</w:t>
      </w:r>
      <w:proofErr w:type="gramEnd"/>
      <w:r w:rsidRPr="001E29CE">
        <w:rPr>
          <w:color w:val="000000" w:themeColor="text1"/>
          <w:sz w:val="24"/>
          <w:szCs w:val="24"/>
        </w:rPr>
        <w:t xml:space="preserve">) then identify the fracture risk calculator and positive </w:t>
      </w:r>
      <w:r w:rsidR="006A3F43" w:rsidRPr="001E29CE">
        <w:rPr>
          <w:color w:val="000000" w:themeColor="text1"/>
          <w:sz w:val="24"/>
          <w:szCs w:val="24"/>
        </w:rPr>
        <w:t>risk factors</w:t>
      </w:r>
      <w:r w:rsidRPr="001E29CE">
        <w:rPr>
          <w:color w:val="000000" w:themeColor="text1"/>
          <w:sz w:val="24"/>
          <w:szCs w:val="24"/>
        </w:rPr>
        <w:t xml:space="preserve"> used in the calculation</w:t>
      </w:r>
    </w:p>
    <w:p w14:paraId="156D5CA3" w14:textId="77777777" w:rsidR="006F3C24" w:rsidRPr="001E29CE" w:rsidRDefault="006F3C24" w:rsidP="006F3C24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7404809E" w14:textId="2FBC0B0B" w:rsidR="00F03372" w:rsidRPr="001E29CE" w:rsidRDefault="00F03372" w:rsidP="00AA5E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rPr>
          <w:rFonts w:ascii="Arial" w:hAnsi="Arial" w:cs="Arial"/>
          <w:b/>
          <w:bCs/>
          <w:color w:val="000000" w:themeColor="text1"/>
        </w:rPr>
      </w:pPr>
      <w:r w:rsidRPr="001E29CE">
        <w:rPr>
          <w:rFonts w:ascii="Arial" w:hAnsi="Arial" w:cs="Arial"/>
          <w:b/>
          <w:bCs/>
          <w:color w:val="000000" w:themeColor="text1"/>
        </w:rPr>
        <w:t>DXA Report: Optional Items:</w:t>
      </w:r>
    </w:p>
    <w:p w14:paraId="2FB293E1" w14:textId="578CB96C" w:rsidR="00F03372" w:rsidRPr="001E29CE" w:rsidRDefault="00F03372" w:rsidP="00AA5E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 w:themeColor="text1"/>
        </w:rPr>
      </w:pPr>
      <w:r w:rsidRPr="001E29CE">
        <w:rPr>
          <w:rFonts w:ascii="Arial" w:hAnsi="Arial" w:cs="Arial"/>
          <w:color w:val="000000" w:themeColor="text1"/>
        </w:rPr>
        <w:t>Recommendation for further non</w:t>
      </w:r>
      <w:r w:rsidRPr="001E29CE">
        <w:rPr>
          <w:rFonts w:ascii="Cambria Math" w:hAnsi="Cambria Math" w:cs="Cambria Math"/>
          <w:color w:val="000000" w:themeColor="text1"/>
        </w:rPr>
        <w:t>‐</w:t>
      </w:r>
      <w:r w:rsidRPr="001E29CE">
        <w:rPr>
          <w:rFonts w:ascii="Arial" w:hAnsi="Arial" w:cs="Arial"/>
          <w:color w:val="000000" w:themeColor="text1"/>
        </w:rPr>
        <w:t>BMD testing, such as X</w:t>
      </w:r>
      <w:r w:rsidRPr="001E29CE">
        <w:rPr>
          <w:rFonts w:ascii="Cambria Math" w:hAnsi="Cambria Math" w:cs="Cambria Math"/>
          <w:color w:val="000000" w:themeColor="text1"/>
        </w:rPr>
        <w:t>‐</w:t>
      </w:r>
      <w:r w:rsidRPr="001E29CE">
        <w:rPr>
          <w:rFonts w:ascii="Arial" w:hAnsi="Arial" w:cs="Arial"/>
          <w:color w:val="000000" w:themeColor="text1"/>
        </w:rPr>
        <w:t>ray, magnetic resonance imaging, computed tomography, etc.</w:t>
      </w:r>
    </w:p>
    <w:p w14:paraId="2BFD8709" w14:textId="6124D97B" w:rsidR="00F03372" w:rsidRPr="001E29CE" w:rsidRDefault="00F03372" w:rsidP="00AA5E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rPr>
          <w:rFonts w:ascii="Arial" w:hAnsi="Arial" w:cs="Arial"/>
          <w:b/>
          <w:bCs/>
          <w:color w:val="000000" w:themeColor="text1"/>
        </w:rPr>
      </w:pPr>
      <w:r w:rsidRPr="001E29CE">
        <w:rPr>
          <w:rFonts w:ascii="Arial" w:hAnsi="Arial" w:cs="Arial"/>
          <w:color w:val="000000" w:themeColor="text1"/>
        </w:rPr>
        <w:t>Recommendations for pharmacological and non</w:t>
      </w:r>
      <w:r w:rsidR="00484841" w:rsidRPr="001E29CE">
        <w:rPr>
          <w:rFonts w:ascii="Arial" w:hAnsi="Arial" w:cs="Arial"/>
          <w:color w:val="000000" w:themeColor="text1"/>
        </w:rPr>
        <w:t>-</w:t>
      </w:r>
      <w:r w:rsidRPr="001E29CE">
        <w:rPr>
          <w:rFonts w:ascii="Arial" w:hAnsi="Arial" w:cs="Arial"/>
          <w:color w:val="000000" w:themeColor="text1"/>
        </w:rPr>
        <w:t>pharmacological interventions.</w:t>
      </w:r>
    </w:p>
    <w:p w14:paraId="0825DBC1" w14:textId="77777777" w:rsidR="00F03372" w:rsidRPr="001E29CE" w:rsidRDefault="00F03372" w:rsidP="00AA5E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 w:themeColor="text1"/>
        </w:rPr>
      </w:pPr>
      <w:r w:rsidRPr="001E29CE">
        <w:rPr>
          <w:rFonts w:ascii="Arial" w:hAnsi="Arial" w:cs="Arial"/>
          <w:color w:val="000000" w:themeColor="text1"/>
        </w:rPr>
        <w:t>Specific recommendations for evaluation of secondary osteoporosis.</w:t>
      </w:r>
    </w:p>
    <w:p w14:paraId="6891D83D" w14:textId="4CB23C80" w:rsidR="00492FBC" w:rsidRDefault="006A3F43" w:rsidP="008A2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rPr>
          <w:rFonts w:ascii="Arial" w:hAnsi="Arial" w:cs="Arial"/>
          <w:color w:val="000000" w:themeColor="text1"/>
        </w:rPr>
        <w:sectPr w:rsidR="00492FBC" w:rsidSect="00712F0F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9F2D17">
        <w:rPr>
          <w:rFonts w:ascii="Arial" w:hAnsi="Arial" w:cs="Arial"/>
          <w:color w:val="000000"/>
        </w:rPr>
        <w:t>Comprehensive definition of WHO criteria</w:t>
      </w:r>
      <w:r w:rsidRPr="001E29CE">
        <w:rPr>
          <w:rFonts w:ascii="Arial" w:hAnsi="Arial" w:cs="Arial"/>
          <w:color w:val="000000" w:themeColor="text1"/>
        </w:rPr>
        <w:t xml:space="preserve"> </w:t>
      </w:r>
      <w:r w:rsidR="009F68B9" w:rsidRPr="001E29CE">
        <w:rPr>
          <w:rFonts w:ascii="Arial" w:hAnsi="Arial" w:cs="Arial"/>
          <w:color w:val="000000" w:themeColor="text1"/>
        </w:rPr>
        <w:t xml:space="preserve">for diagnosis in postmenopausal females and in men </w:t>
      </w:r>
      <w:proofErr w:type="gramStart"/>
      <w:r w:rsidR="009F68B9" w:rsidRPr="001E29CE">
        <w:rPr>
          <w:rFonts w:ascii="Arial" w:hAnsi="Arial" w:cs="Arial"/>
          <w:color w:val="000000" w:themeColor="text1"/>
        </w:rPr>
        <w:t>age</w:t>
      </w:r>
      <w:proofErr w:type="gramEnd"/>
      <w:r w:rsidR="009F68B9" w:rsidRPr="001E29CE">
        <w:rPr>
          <w:rFonts w:ascii="Arial" w:hAnsi="Arial" w:cs="Arial"/>
          <w:color w:val="000000" w:themeColor="text1"/>
        </w:rPr>
        <w:t xml:space="preserve"> 50 and ov</w:t>
      </w:r>
      <w:r w:rsidR="00055698" w:rsidRPr="001E29CE">
        <w:rPr>
          <w:rFonts w:ascii="Arial" w:hAnsi="Arial" w:cs="Arial"/>
          <w:color w:val="000000" w:themeColor="text1"/>
        </w:rPr>
        <w:t>er.</w:t>
      </w:r>
    </w:p>
    <w:p w14:paraId="3008E231" w14:textId="7AA508D1" w:rsidR="006A3F43" w:rsidRDefault="006A3F43" w:rsidP="006A3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jc w:val="center"/>
        <w:rPr>
          <w:rFonts w:ascii="Arial" w:hAnsi="Arial" w:cs="Arial"/>
          <w:b/>
          <w:bCs/>
          <w:color w:val="000000" w:themeColor="text1"/>
        </w:rPr>
      </w:pPr>
      <w:r w:rsidRPr="006A3F43"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114300" distR="114300" simplePos="0" relativeHeight="251658240" behindDoc="1" locked="0" layoutInCell="1" allowOverlap="1" wp14:anchorId="0A489E00" wp14:editId="314DD342">
            <wp:simplePos x="0" y="0"/>
            <wp:positionH relativeFrom="column">
              <wp:posOffset>1958</wp:posOffset>
            </wp:positionH>
            <wp:positionV relativeFrom="paragraph">
              <wp:posOffset>583</wp:posOffset>
            </wp:positionV>
            <wp:extent cx="980440" cy="469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1377E" w14:textId="0CC848FF" w:rsidR="00583EC3" w:rsidRPr="00492FBC" w:rsidRDefault="00583EC3" w:rsidP="006A3F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13"/>
        <w:jc w:val="center"/>
        <w:rPr>
          <w:rFonts w:ascii="Arial" w:hAnsi="Arial" w:cs="Arial"/>
          <w:b/>
          <w:bCs/>
          <w:color w:val="000000" w:themeColor="text1"/>
        </w:rPr>
      </w:pPr>
      <w:r w:rsidRPr="00492FBC">
        <w:rPr>
          <w:rFonts w:ascii="Arial" w:hAnsi="Arial" w:cs="Arial"/>
          <w:b/>
          <w:bCs/>
          <w:color w:val="000000" w:themeColor="text1"/>
        </w:rPr>
        <w:t>US ADULT DXA SAMPLE REPORT</w:t>
      </w:r>
    </w:p>
    <w:p w14:paraId="265D2623" w14:textId="5E8CE0DC" w:rsidR="00583EC3" w:rsidRPr="00492FBC" w:rsidRDefault="00583EC3" w:rsidP="00583EC3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F727AE8" w14:textId="4E487C4D" w:rsidR="00583EC3" w:rsidRPr="00492FBC" w:rsidRDefault="00583EC3" w:rsidP="00583EC3">
      <w:pPr>
        <w:pStyle w:val="BodyText"/>
        <w:spacing w:before="213" w:line="237" w:lineRule="auto"/>
        <w:rPr>
          <w:b/>
          <w:bCs/>
          <w:color w:val="000000" w:themeColor="text1"/>
          <w:sz w:val="24"/>
          <w:szCs w:val="24"/>
        </w:rPr>
      </w:pPr>
      <w:r w:rsidRPr="00492FBC">
        <w:rPr>
          <w:b/>
          <w:bCs/>
          <w:color w:val="000000" w:themeColor="text1"/>
          <w:sz w:val="24"/>
          <w:szCs w:val="24"/>
        </w:rPr>
        <w:t>Dual-Energy X-ray Absorptiometry (DXA)</w:t>
      </w:r>
    </w:p>
    <w:p w14:paraId="36733F51" w14:textId="77777777" w:rsidR="00492FBC" w:rsidRDefault="00492FBC" w:rsidP="00583EC3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101A0511" w14:textId="0FB88FD9" w:rsidR="00583EC3" w:rsidRPr="00492FBC" w:rsidRDefault="00583EC3" w:rsidP="00583EC3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 xml:space="preserve">A DXA scan was performed on (date) 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</w:rPr>
        <w:t xml:space="preserve"> using a </w:t>
      </w:r>
      <w:r w:rsidR="00FC29EB" w:rsidRPr="00492FBC">
        <w:rPr>
          <w:color w:val="000000" w:themeColor="text1"/>
          <w:sz w:val="24"/>
          <w:szCs w:val="24"/>
        </w:rPr>
        <w:t xml:space="preserve">(manufacturer) 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</w:rPr>
        <w:t>(model)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z w:val="24"/>
          <w:szCs w:val="24"/>
          <w:u w:val="single"/>
        </w:rPr>
        <w:t xml:space="preserve"> </w:t>
      </w:r>
      <w:r w:rsidRPr="00492FBC">
        <w:rPr>
          <w:color w:val="000000" w:themeColor="text1"/>
          <w:sz w:val="24"/>
          <w:szCs w:val="24"/>
        </w:rPr>
        <w:t>densitometer.</w:t>
      </w:r>
    </w:p>
    <w:p w14:paraId="441E1152" w14:textId="508B5174" w:rsidR="00583EC3" w:rsidRPr="00492FBC" w:rsidRDefault="00583EC3" w:rsidP="00583EC3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1CD24143" w14:textId="328B103A" w:rsidR="00583EC3" w:rsidRPr="00492FBC" w:rsidRDefault="00583EC3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Indication</w:t>
      </w:r>
      <w:r w:rsidR="008A2266" w:rsidRPr="00492FBC">
        <w:rPr>
          <w:b/>
          <w:bCs/>
          <w:color w:val="000000" w:themeColor="text1"/>
          <w:sz w:val="24"/>
          <w:szCs w:val="24"/>
          <w:u w:val="single"/>
        </w:rPr>
        <w:t xml:space="preserve"> for </w:t>
      </w:r>
      <w:r w:rsidR="0066689E" w:rsidRPr="00492FBC">
        <w:rPr>
          <w:b/>
          <w:bCs/>
          <w:color w:val="000000" w:themeColor="text1"/>
          <w:sz w:val="24"/>
          <w:szCs w:val="24"/>
          <w:u w:val="single"/>
        </w:rPr>
        <w:t>Study</w:t>
      </w:r>
      <w:r w:rsidRPr="00492FBC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3D138F16" w14:textId="32652426" w:rsidR="00583EC3" w:rsidRPr="00492FBC" w:rsidRDefault="00583EC3" w:rsidP="00583EC3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7961C5B6" w14:textId="18028087" w:rsidR="008A2266" w:rsidRPr="00492FBC" w:rsidRDefault="008A2266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 xml:space="preserve">Comparison Study: </w:t>
      </w:r>
      <w:r w:rsidR="0066689E" w:rsidRPr="00492FBC">
        <w:rPr>
          <w:b/>
          <w:bCs/>
          <w:color w:val="000000" w:themeColor="text1"/>
          <w:sz w:val="24"/>
          <w:szCs w:val="24"/>
          <w:u w:val="single"/>
        </w:rPr>
        <w:t>(select from the following)</w:t>
      </w:r>
    </w:p>
    <w:p w14:paraId="22E22E86" w14:textId="16BC1A35" w:rsidR="008A2266" w:rsidRPr="00492FBC" w:rsidRDefault="008A2266" w:rsidP="00AA5E47">
      <w:pPr>
        <w:pStyle w:val="BodyText"/>
        <w:numPr>
          <w:ilvl w:val="0"/>
          <w:numId w:val="5"/>
        </w:numPr>
        <w:spacing w:line="238" w:lineRule="auto"/>
        <w:ind w:left="540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No prior study for comparison</w:t>
      </w:r>
    </w:p>
    <w:p w14:paraId="49462B2F" w14:textId="3E5F7815" w:rsidR="008A2266" w:rsidRPr="00492FBC" w:rsidRDefault="008A2266" w:rsidP="00AA5E47">
      <w:pPr>
        <w:pStyle w:val="BodyText"/>
        <w:numPr>
          <w:ilvl w:val="0"/>
          <w:numId w:val="5"/>
        </w:numPr>
        <w:spacing w:line="238" w:lineRule="auto"/>
        <w:ind w:left="540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Current study compared to that of (DATE</w:t>
      </w:r>
      <w:r w:rsidR="00606A0A" w:rsidRPr="00492FBC">
        <w:rPr>
          <w:color w:val="000000" w:themeColor="text1"/>
          <w:sz w:val="24"/>
          <w:szCs w:val="24"/>
        </w:rPr>
        <w:t>(S)</w:t>
      </w:r>
      <w:r w:rsidRPr="00492FBC">
        <w:rPr>
          <w:color w:val="000000" w:themeColor="text1"/>
          <w:sz w:val="24"/>
          <w:szCs w:val="24"/>
        </w:rPr>
        <w:t>) – If different dates for various sites; specify</w:t>
      </w:r>
    </w:p>
    <w:p w14:paraId="2F4961E9" w14:textId="74B808B9" w:rsidR="008A2266" w:rsidRPr="00492FBC" w:rsidRDefault="008A2266" w:rsidP="00AA5E47">
      <w:pPr>
        <w:pStyle w:val="BodyText"/>
        <w:numPr>
          <w:ilvl w:val="0"/>
          <w:numId w:val="5"/>
        </w:numPr>
        <w:spacing w:line="238" w:lineRule="auto"/>
        <w:ind w:left="540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 xml:space="preserve">Prior study acquired on a non-cross calibrated scanner and cannot be used for </w:t>
      </w:r>
      <w:r w:rsidR="00492FBC" w:rsidRPr="00492FBC">
        <w:rPr>
          <w:color w:val="000000" w:themeColor="text1"/>
          <w:sz w:val="24"/>
          <w:szCs w:val="24"/>
        </w:rPr>
        <w:t>quantitive</w:t>
      </w:r>
      <w:r w:rsidR="0066689E" w:rsidRPr="00492FBC">
        <w:rPr>
          <w:color w:val="000000" w:themeColor="text1"/>
          <w:sz w:val="24"/>
          <w:szCs w:val="24"/>
        </w:rPr>
        <w:t xml:space="preserve"> </w:t>
      </w:r>
      <w:r w:rsidRPr="00492FBC">
        <w:rPr>
          <w:color w:val="000000" w:themeColor="text1"/>
          <w:sz w:val="24"/>
          <w:szCs w:val="24"/>
        </w:rPr>
        <w:t>comparison</w:t>
      </w:r>
    </w:p>
    <w:p w14:paraId="0AA6D79D" w14:textId="77777777" w:rsidR="008A2266" w:rsidRPr="00492FBC" w:rsidRDefault="008A2266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59092663" w14:textId="5217CFFF" w:rsidR="00583EC3" w:rsidRPr="00492FBC" w:rsidRDefault="00583EC3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Results:</w:t>
      </w:r>
    </w:p>
    <w:p w14:paraId="769348DE" w14:textId="61339B2D" w:rsidR="00583EC3" w:rsidRPr="00492FBC" w:rsidRDefault="00583EC3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</w:rPr>
      </w:pPr>
      <w:r w:rsidRPr="00492FBC">
        <w:rPr>
          <w:b/>
          <w:bCs/>
          <w:color w:val="000000" w:themeColor="text1"/>
          <w:sz w:val="24"/>
          <w:szCs w:val="24"/>
        </w:rPr>
        <w:t>Lumbar Spine</w:t>
      </w:r>
    </w:p>
    <w:p w14:paraId="7E2292D3" w14:textId="59B87AA7" w:rsidR="00B307D7" w:rsidRPr="00492FBC" w:rsidRDefault="00E42235" w:rsidP="00583EC3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</w:rPr>
      </w:pPr>
      <w:r w:rsidRPr="00492FBC">
        <w:rPr>
          <w:color w:val="000000" w:themeColor="text1"/>
          <w:spacing w:val="-2"/>
          <w:sz w:val="24"/>
          <w:szCs w:val="24"/>
        </w:rPr>
        <w:t xml:space="preserve">(Comment on technical limitations if appropriate) </w:t>
      </w:r>
      <w:r w:rsidR="00B307D7" w:rsidRPr="00492FBC">
        <w:rPr>
          <w:color w:val="000000" w:themeColor="text1"/>
          <w:sz w:val="24"/>
          <w:szCs w:val="24"/>
        </w:rPr>
        <w:t xml:space="preserve">The BMD measured </w:t>
      </w:r>
      <w:r w:rsidR="00FC29EB" w:rsidRPr="00492FBC">
        <w:rPr>
          <w:color w:val="000000" w:themeColor="text1"/>
          <w:sz w:val="24"/>
          <w:szCs w:val="24"/>
        </w:rPr>
        <w:t xml:space="preserve">at </w:t>
      </w:r>
      <w:r w:rsidR="00B307D7" w:rsidRPr="00492FBC">
        <w:rPr>
          <w:color w:val="000000" w:themeColor="text1"/>
          <w:sz w:val="24"/>
          <w:szCs w:val="24"/>
        </w:rPr>
        <w:t>(L1-L4,</w:t>
      </w:r>
      <w:r w:rsidR="00B307D7" w:rsidRPr="00492FBC">
        <w:rPr>
          <w:color w:val="000000" w:themeColor="text1"/>
          <w:spacing w:val="-11"/>
          <w:sz w:val="24"/>
          <w:szCs w:val="24"/>
        </w:rPr>
        <w:t xml:space="preserve"> </w:t>
      </w:r>
      <w:r w:rsidR="00B307D7" w:rsidRPr="00492FBC">
        <w:rPr>
          <w:color w:val="000000" w:themeColor="text1"/>
          <w:sz w:val="24"/>
          <w:szCs w:val="24"/>
        </w:rPr>
        <w:t>L1-L3-</w:t>
      </w:r>
      <w:r w:rsidR="00B307D7" w:rsidRPr="00492FBC">
        <w:rPr>
          <w:color w:val="000000" w:themeColor="text1"/>
          <w:spacing w:val="-11"/>
          <w:sz w:val="24"/>
          <w:szCs w:val="24"/>
        </w:rPr>
        <w:t xml:space="preserve"> </w:t>
      </w:r>
      <w:r w:rsidR="00B307D7" w:rsidRPr="00492FBC">
        <w:rPr>
          <w:color w:val="000000" w:themeColor="text1"/>
          <w:sz w:val="24"/>
          <w:szCs w:val="24"/>
        </w:rPr>
        <w:t>specify</w:t>
      </w:r>
      <w:r w:rsidR="00B307D7" w:rsidRPr="00492FBC">
        <w:rPr>
          <w:color w:val="000000" w:themeColor="text1"/>
          <w:spacing w:val="-12"/>
          <w:sz w:val="24"/>
          <w:szCs w:val="24"/>
        </w:rPr>
        <w:t xml:space="preserve"> </w:t>
      </w:r>
      <w:r w:rsidR="00B307D7" w:rsidRPr="00492FBC">
        <w:rPr>
          <w:color w:val="000000" w:themeColor="text1"/>
          <w:spacing w:val="-2"/>
          <w:sz w:val="24"/>
          <w:szCs w:val="24"/>
        </w:rPr>
        <w:t>levels)</w:t>
      </w:r>
      <w:r w:rsidR="00B307D7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pacing w:val="-2"/>
          <w:sz w:val="24"/>
          <w:szCs w:val="24"/>
        </w:rPr>
        <w:t xml:space="preserve">is </w:t>
      </w:r>
      <w:r w:rsidR="00B307D7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pacing w:val="-2"/>
          <w:sz w:val="24"/>
          <w:szCs w:val="24"/>
        </w:rPr>
        <w:t>g/cm</w:t>
      </w:r>
      <w:r w:rsidR="00B307D7" w:rsidRPr="00492FBC">
        <w:rPr>
          <w:color w:val="000000" w:themeColor="text1"/>
          <w:spacing w:val="-2"/>
          <w:sz w:val="24"/>
          <w:szCs w:val="24"/>
          <w:vertAlign w:val="superscript"/>
        </w:rPr>
        <w:t>2</w:t>
      </w:r>
      <w:r w:rsidR="0066689E" w:rsidRPr="00492FBC">
        <w:rPr>
          <w:color w:val="000000" w:themeColor="text1"/>
          <w:spacing w:val="-2"/>
          <w:sz w:val="24"/>
          <w:szCs w:val="24"/>
        </w:rPr>
        <w:t xml:space="preserve"> with a corresponding T-score </w:t>
      </w:r>
      <w:r w:rsidR="00A303EF" w:rsidRPr="00492FBC">
        <w:rPr>
          <w:color w:val="000000" w:themeColor="text1"/>
          <w:spacing w:val="-2"/>
          <w:sz w:val="24"/>
          <w:szCs w:val="24"/>
        </w:rPr>
        <w:t xml:space="preserve">of </w:t>
      </w:r>
      <w:r w:rsidR="0066689E" w:rsidRPr="00492FBC">
        <w:rPr>
          <w:color w:val="000000" w:themeColor="text1"/>
          <w:spacing w:val="-2"/>
          <w:sz w:val="24"/>
          <w:szCs w:val="24"/>
        </w:rPr>
        <w:t>(and/or Z-score as appropriate)</w:t>
      </w:r>
      <w:r w:rsidR="0066689E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66689E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66689E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pacing w:val="-2"/>
          <w:sz w:val="24"/>
          <w:szCs w:val="24"/>
        </w:rPr>
        <w:t>.</w:t>
      </w:r>
      <w:r w:rsidR="0066689E" w:rsidRPr="00492FBC">
        <w:rPr>
          <w:color w:val="000000" w:themeColor="text1"/>
          <w:spacing w:val="-2"/>
          <w:sz w:val="24"/>
          <w:szCs w:val="24"/>
        </w:rPr>
        <w:t xml:space="preserve"> Compared to prior there is a difference of _________g/cm</w:t>
      </w:r>
      <w:r w:rsidR="0066689E" w:rsidRPr="00492FBC">
        <w:rPr>
          <w:color w:val="000000" w:themeColor="text1"/>
          <w:spacing w:val="-2"/>
          <w:sz w:val="24"/>
          <w:szCs w:val="24"/>
          <w:vertAlign w:val="superscript"/>
        </w:rPr>
        <w:t>2</w:t>
      </w:r>
      <w:r w:rsidR="0066689E" w:rsidRPr="00492FBC">
        <w:rPr>
          <w:color w:val="000000" w:themeColor="text1"/>
          <w:spacing w:val="-2"/>
          <w:sz w:val="24"/>
          <w:szCs w:val="24"/>
        </w:rPr>
        <w:t xml:space="preserve"> (XX%)</w:t>
      </w:r>
      <w:r w:rsidR="00A303EF" w:rsidRPr="00492FBC">
        <w:rPr>
          <w:color w:val="000000" w:themeColor="text1"/>
          <w:spacing w:val="-2"/>
          <w:sz w:val="24"/>
          <w:szCs w:val="24"/>
        </w:rPr>
        <w:t>, which is (stable, a significant increase, a significant decrease) in BMD.</w:t>
      </w:r>
      <w:r w:rsidR="0095711D" w:rsidRPr="00492FBC">
        <w:rPr>
          <w:color w:val="000000" w:themeColor="text1"/>
          <w:spacing w:val="-2"/>
          <w:sz w:val="24"/>
          <w:szCs w:val="24"/>
        </w:rPr>
        <w:t xml:space="preserve"> </w:t>
      </w:r>
    </w:p>
    <w:p w14:paraId="109D12B0" w14:textId="77777777" w:rsidR="00A303EF" w:rsidRPr="00492FBC" w:rsidDel="0066689E" w:rsidRDefault="00A303EF" w:rsidP="00583EC3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  <w:u w:val="single"/>
        </w:rPr>
      </w:pPr>
    </w:p>
    <w:p w14:paraId="4ABC9A26" w14:textId="15463C53" w:rsidR="00A303EF" w:rsidRPr="00492FBC" w:rsidRDefault="00A303EF" w:rsidP="00B307D7">
      <w:pPr>
        <w:pStyle w:val="BodyText"/>
        <w:rPr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Femoral Neck:</w:t>
      </w:r>
    </w:p>
    <w:p w14:paraId="32814D9B" w14:textId="19DFF6A4" w:rsidR="00D9170A" w:rsidRPr="00492FBC" w:rsidRDefault="00E42235" w:rsidP="00B307D7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  <w:u w:val="single"/>
        </w:rPr>
      </w:pPr>
      <w:r w:rsidRPr="00492FBC">
        <w:rPr>
          <w:color w:val="000000" w:themeColor="text1"/>
          <w:spacing w:val="-2"/>
          <w:sz w:val="24"/>
          <w:szCs w:val="24"/>
        </w:rPr>
        <w:t xml:space="preserve">(Comment on technical limitations if appropriate) </w:t>
      </w:r>
      <w:r w:rsidR="00B307D7" w:rsidRPr="00492FBC">
        <w:rPr>
          <w:color w:val="000000" w:themeColor="text1"/>
          <w:sz w:val="24"/>
          <w:szCs w:val="24"/>
        </w:rPr>
        <w:t xml:space="preserve">The BMD measured at the </w:t>
      </w:r>
      <w:r w:rsidR="00A303EF" w:rsidRPr="00492FBC">
        <w:rPr>
          <w:color w:val="000000" w:themeColor="text1"/>
          <w:sz w:val="24"/>
          <w:szCs w:val="24"/>
        </w:rPr>
        <w:t>lowest</w:t>
      </w:r>
      <w:r w:rsidR="00B307D7" w:rsidRPr="00492FBC">
        <w:rPr>
          <w:color w:val="000000" w:themeColor="text1"/>
          <w:sz w:val="24"/>
          <w:szCs w:val="24"/>
        </w:rPr>
        <w:t xml:space="preserve"> femoral neck is</w:t>
      </w:r>
      <w:r w:rsidR="00B307D7" w:rsidRPr="00492FBC">
        <w:rPr>
          <w:color w:val="000000" w:themeColor="text1"/>
          <w:sz w:val="24"/>
          <w:szCs w:val="24"/>
          <w:u w:val="single"/>
        </w:rPr>
        <w:t xml:space="preserve"> </w:t>
      </w:r>
      <w:r w:rsidR="00B307D7" w:rsidRPr="00492FBC">
        <w:rPr>
          <w:color w:val="000000" w:themeColor="text1"/>
          <w:sz w:val="24"/>
          <w:szCs w:val="24"/>
          <w:u w:val="single"/>
        </w:rPr>
        <w:tab/>
      </w:r>
      <w:r w:rsidR="00B307D7" w:rsidRPr="00492FBC">
        <w:rPr>
          <w:color w:val="000000" w:themeColor="text1"/>
          <w:sz w:val="24"/>
          <w:szCs w:val="24"/>
          <w:u w:val="single"/>
        </w:rPr>
        <w:tab/>
        <w:t xml:space="preserve"> </w:t>
      </w:r>
      <w:r w:rsidR="00B307D7" w:rsidRPr="00492FBC">
        <w:rPr>
          <w:color w:val="000000" w:themeColor="text1"/>
          <w:sz w:val="24"/>
          <w:szCs w:val="24"/>
        </w:rPr>
        <w:t>g/cm</w:t>
      </w:r>
      <w:r w:rsidR="00B307D7" w:rsidRPr="00492FBC">
        <w:rPr>
          <w:color w:val="000000" w:themeColor="text1"/>
          <w:sz w:val="24"/>
          <w:szCs w:val="24"/>
          <w:vertAlign w:val="superscript"/>
        </w:rPr>
        <w:t>2</w:t>
      </w:r>
      <w:r w:rsidR="00A303EF" w:rsidRPr="00492FBC">
        <w:rPr>
          <w:color w:val="000000" w:themeColor="text1"/>
          <w:sz w:val="24"/>
          <w:szCs w:val="24"/>
        </w:rPr>
        <w:t xml:space="preserve"> </w:t>
      </w:r>
      <w:r w:rsidR="00A303EF" w:rsidRPr="00492FBC">
        <w:rPr>
          <w:color w:val="000000" w:themeColor="text1"/>
          <w:spacing w:val="-2"/>
          <w:sz w:val="24"/>
          <w:szCs w:val="24"/>
        </w:rPr>
        <w:t>with a corresponding T-score of (and/or Z-score as appropriate)</w:t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</w:rPr>
        <w:t>.</w:t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 xml:space="preserve"> </w:t>
      </w:r>
    </w:p>
    <w:p w14:paraId="76C3C506" w14:textId="77777777" w:rsidR="00B307D7" w:rsidRPr="00492FBC" w:rsidRDefault="00B307D7" w:rsidP="00B307D7">
      <w:pPr>
        <w:pStyle w:val="BodyText"/>
        <w:spacing w:line="238" w:lineRule="auto"/>
        <w:rPr>
          <w:color w:val="000000" w:themeColor="text1"/>
          <w:sz w:val="24"/>
          <w:szCs w:val="24"/>
          <w:u w:val="single"/>
        </w:rPr>
      </w:pPr>
    </w:p>
    <w:p w14:paraId="4F6A6579" w14:textId="77777777" w:rsidR="00B307D7" w:rsidRPr="00492FBC" w:rsidRDefault="00B307D7" w:rsidP="00B307D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Total Hip</w:t>
      </w:r>
    </w:p>
    <w:p w14:paraId="241B7661" w14:textId="61305B72" w:rsidR="00A303EF" w:rsidRPr="00492FBC" w:rsidRDefault="00E42235" w:rsidP="00A303EF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</w:rPr>
      </w:pPr>
      <w:r w:rsidRPr="00492FBC">
        <w:rPr>
          <w:color w:val="000000" w:themeColor="text1"/>
          <w:spacing w:val="-2"/>
          <w:sz w:val="24"/>
          <w:szCs w:val="24"/>
        </w:rPr>
        <w:t xml:space="preserve">(Comment on technical limitations if appropriate) </w:t>
      </w:r>
      <w:r w:rsidR="00A303EF" w:rsidRPr="00492FBC">
        <w:rPr>
          <w:color w:val="000000" w:themeColor="text1"/>
          <w:sz w:val="24"/>
          <w:szCs w:val="24"/>
        </w:rPr>
        <w:t>The BMD measured at the lowest femoral neck is</w:t>
      </w:r>
      <w:r w:rsidR="00A303EF" w:rsidRPr="00492FBC">
        <w:rPr>
          <w:color w:val="000000" w:themeColor="text1"/>
          <w:sz w:val="24"/>
          <w:szCs w:val="24"/>
          <w:u w:val="single"/>
        </w:rPr>
        <w:t xml:space="preserve"> </w:t>
      </w:r>
      <w:r w:rsidR="00A303EF" w:rsidRPr="00492FBC">
        <w:rPr>
          <w:color w:val="000000" w:themeColor="text1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z w:val="24"/>
          <w:szCs w:val="24"/>
          <w:u w:val="single"/>
        </w:rPr>
        <w:tab/>
        <w:t xml:space="preserve"> </w:t>
      </w:r>
      <w:r w:rsidR="00A303EF" w:rsidRPr="00492FBC">
        <w:rPr>
          <w:color w:val="000000" w:themeColor="text1"/>
          <w:sz w:val="24"/>
          <w:szCs w:val="24"/>
        </w:rPr>
        <w:t>g/cm</w:t>
      </w:r>
      <w:r w:rsidR="00A303EF" w:rsidRPr="00492FBC">
        <w:rPr>
          <w:color w:val="000000" w:themeColor="text1"/>
          <w:sz w:val="24"/>
          <w:szCs w:val="24"/>
          <w:vertAlign w:val="superscript"/>
        </w:rPr>
        <w:t>2</w:t>
      </w:r>
      <w:r w:rsidR="00A303EF" w:rsidRPr="00492FBC">
        <w:rPr>
          <w:color w:val="000000" w:themeColor="text1"/>
          <w:sz w:val="24"/>
          <w:szCs w:val="24"/>
        </w:rPr>
        <w:t xml:space="preserve"> </w:t>
      </w:r>
      <w:r w:rsidR="00A303EF" w:rsidRPr="00492FBC">
        <w:rPr>
          <w:color w:val="000000" w:themeColor="text1"/>
          <w:spacing w:val="-2"/>
          <w:sz w:val="24"/>
          <w:szCs w:val="24"/>
        </w:rPr>
        <w:t>with a corresponding T-score of (and/or Z-score as appropriate)</w:t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</w:rPr>
        <w:t>.  Compared to prior (use mean total hip when available) there is a difference of _________g/cm</w:t>
      </w:r>
      <w:r w:rsidR="00A303EF" w:rsidRPr="00492FBC">
        <w:rPr>
          <w:color w:val="000000" w:themeColor="text1"/>
          <w:spacing w:val="-2"/>
          <w:sz w:val="24"/>
          <w:szCs w:val="24"/>
          <w:vertAlign w:val="superscript"/>
        </w:rPr>
        <w:t>2</w:t>
      </w:r>
      <w:r w:rsidR="00A303EF" w:rsidRPr="00492FBC">
        <w:rPr>
          <w:color w:val="000000" w:themeColor="text1"/>
          <w:spacing w:val="-2"/>
          <w:sz w:val="24"/>
          <w:szCs w:val="24"/>
        </w:rPr>
        <w:t xml:space="preserve"> (XX%), which is (stable, a significant increase, a significant decrease) in BMD.</w:t>
      </w:r>
      <w:r w:rsidR="0095711D" w:rsidRPr="00492FBC">
        <w:rPr>
          <w:color w:val="000000" w:themeColor="text1"/>
          <w:spacing w:val="-2"/>
          <w:sz w:val="24"/>
          <w:szCs w:val="24"/>
        </w:rPr>
        <w:t xml:space="preserve"> </w:t>
      </w:r>
    </w:p>
    <w:p w14:paraId="68013A3A" w14:textId="4C991B50" w:rsidR="00A303EF" w:rsidRPr="00492FBC" w:rsidRDefault="00A303EF" w:rsidP="00A303EF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  <w:u w:val="single"/>
        </w:rPr>
      </w:pPr>
    </w:p>
    <w:p w14:paraId="52F0C6F3" w14:textId="575C1AE6" w:rsidR="00B307D7" w:rsidRPr="00492FBC" w:rsidRDefault="00B307D7" w:rsidP="00B307D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1/3 Radius</w:t>
      </w:r>
    </w:p>
    <w:p w14:paraId="660AEE0C" w14:textId="405064FA" w:rsidR="00A303EF" w:rsidRPr="00492FBC" w:rsidRDefault="00E42235" w:rsidP="00A303EF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</w:rPr>
      </w:pPr>
      <w:r w:rsidRPr="00492FBC">
        <w:rPr>
          <w:color w:val="000000" w:themeColor="text1"/>
          <w:spacing w:val="-2"/>
          <w:sz w:val="24"/>
          <w:szCs w:val="24"/>
        </w:rPr>
        <w:t xml:space="preserve">(Comment on technical limitations if appropriate) </w:t>
      </w:r>
      <w:r w:rsidR="00A303EF" w:rsidRPr="00492FBC">
        <w:rPr>
          <w:color w:val="000000" w:themeColor="text1"/>
          <w:sz w:val="24"/>
          <w:szCs w:val="24"/>
        </w:rPr>
        <w:t>The BMD measured at the lowest femoral neck is</w:t>
      </w:r>
      <w:r w:rsidR="00A303EF" w:rsidRPr="00492FBC">
        <w:rPr>
          <w:color w:val="000000" w:themeColor="text1"/>
          <w:sz w:val="24"/>
          <w:szCs w:val="24"/>
          <w:u w:val="single"/>
        </w:rPr>
        <w:t xml:space="preserve"> </w:t>
      </w:r>
      <w:r w:rsidR="00A303EF" w:rsidRPr="00492FBC">
        <w:rPr>
          <w:color w:val="000000" w:themeColor="text1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z w:val="24"/>
          <w:szCs w:val="24"/>
          <w:u w:val="single"/>
        </w:rPr>
        <w:tab/>
        <w:t xml:space="preserve"> </w:t>
      </w:r>
      <w:r w:rsidR="00A303EF" w:rsidRPr="00492FBC">
        <w:rPr>
          <w:color w:val="000000" w:themeColor="text1"/>
          <w:sz w:val="24"/>
          <w:szCs w:val="24"/>
        </w:rPr>
        <w:t>g/cm</w:t>
      </w:r>
      <w:r w:rsidR="00A303EF" w:rsidRPr="00492FBC">
        <w:rPr>
          <w:color w:val="000000" w:themeColor="text1"/>
          <w:sz w:val="24"/>
          <w:szCs w:val="24"/>
          <w:vertAlign w:val="superscript"/>
        </w:rPr>
        <w:t>2</w:t>
      </w:r>
      <w:r w:rsidR="00A303EF" w:rsidRPr="00492FBC">
        <w:rPr>
          <w:color w:val="000000" w:themeColor="text1"/>
          <w:sz w:val="24"/>
          <w:szCs w:val="24"/>
        </w:rPr>
        <w:t xml:space="preserve"> </w:t>
      </w:r>
      <w:r w:rsidR="00A303EF" w:rsidRPr="00492FBC">
        <w:rPr>
          <w:color w:val="000000" w:themeColor="text1"/>
          <w:spacing w:val="-2"/>
          <w:sz w:val="24"/>
          <w:szCs w:val="24"/>
        </w:rPr>
        <w:t>with a corresponding T-score of (and/or Z-score as appropriate)</w:t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ab/>
      </w:r>
      <w:r w:rsidR="00A303EF" w:rsidRPr="00492FBC">
        <w:rPr>
          <w:color w:val="000000" w:themeColor="text1"/>
          <w:spacing w:val="-2"/>
          <w:sz w:val="24"/>
          <w:szCs w:val="24"/>
        </w:rPr>
        <w:t>.</w:t>
      </w:r>
      <w:r w:rsidR="00A303EF" w:rsidRPr="00492FBC">
        <w:rPr>
          <w:color w:val="000000" w:themeColor="text1"/>
          <w:spacing w:val="-2"/>
          <w:sz w:val="24"/>
          <w:szCs w:val="24"/>
          <w:u w:val="single"/>
        </w:rPr>
        <w:t xml:space="preserve"> </w:t>
      </w:r>
    </w:p>
    <w:p w14:paraId="4C3BD1E0" w14:textId="77777777" w:rsidR="0095711D" w:rsidRPr="00492FBC" w:rsidRDefault="0095711D" w:rsidP="00A303EF">
      <w:pPr>
        <w:pStyle w:val="BodyText"/>
        <w:spacing w:line="238" w:lineRule="auto"/>
        <w:rPr>
          <w:color w:val="000000" w:themeColor="text1"/>
          <w:spacing w:val="-2"/>
          <w:sz w:val="24"/>
          <w:szCs w:val="24"/>
          <w:u w:val="single"/>
        </w:rPr>
      </w:pPr>
    </w:p>
    <w:p w14:paraId="661D116E" w14:textId="1118793C" w:rsidR="00780D2E" w:rsidRPr="00492FBC" w:rsidRDefault="00780D2E" w:rsidP="00780D2E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Vertebral Fracture Assessment</w:t>
      </w:r>
    </w:p>
    <w:p w14:paraId="0C918678" w14:textId="1906904C" w:rsidR="00780D2E" w:rsidRPr="00636F17" w:rsidRDefault="00780D2E" w:rsidP="00A303EF">
      <w:pPr>
        <w:pStyle w:val="BodyText"/>
        <w:spacing w:line="238" w:lineRule="auto"/>
        <w:rPr>
          <w:bCs/>
          <w:color w:val="000000" w:themeColor="text1"/>
          <w:sz w:val="24"/>
          <w:szCs w:val="24"/>
        </w:rPr>
      </w:pPr>
      <w:r w:rsidRPr="00636F17">
        <w:rPr>
          <w:bCs/>
          <w:color w:val="000000" w:themeColor="text1"/>
          <w:sz w:val="24"/>
          <w:szCs w:val="24"/>
        </w:rPr>
        <w:t>The image identifies (list visible vertebrae i.e. T4-L4) No moderate or severe fractures are recognized. (list level and grade of recognized moderate or severe fractures)</w:t>
      </w:r>
    </w:p>
    <w:p w14:paraId="02373490" w14:textId="77777777" w:rsidR="00780D2E" w:rsidRPr="00492FBC" w:rsidRDefault="00780D2E" w:rsidP="00A303EF">
      <w:pPr>
        <w:pStyle w:val="BodyText"/>
        <w:spacing w:line="238" w:lineRule="auto"/>
        <w:rPr>
          <w:b/>
          <w:color w:val="000000" w:themeColor="text1"/>
          <w:sz w:val="24"/>
          <w:szCs w:val="24"/>
          <w:u w:val="single"/>
        </w:rPr>
      </w:pPr>
    </w:p>
    <w:p w14:paraId="2254E551" w14:textId="13B69328" w:rsidR="00A303EF" w:rsidRPr="00492FBC" w:rsidRDefault="00A303EF" w:rsidP="00A303EF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b/>
          <w:color w:val="000000" w:themeColor="text1"/>
          <w:sz w:val="24"/>
          <w:szCs w:val="24"/>
          <w:u w:val="single"/>
        </w:rPr>
        <w:t>Fracture Risk:</w:t>
      </w:r>
      <w:r w:rsidRPr="00492FBC">
        <w:rPr>
          <w:b/>
          <w:color w:val="000000" w:themeColor="text1"/>
          <w:sz w:val="24"/>
          <w:szCs w:val="24"/>
        </w:rPr>
        <w:t xml:space="preserve"> </w:t>
      </w:r>
      <w:r w:rsidRPr="00492FBC">
        <w:rPr>
          <w:color w:val="000000" w:themeColor="text1"/>
          <w:sz w:val="24"/>
          <w:szCs w:val="24"/>
        </w:rPr>
        <w:t xml:space="preserve">The estimated 10-year risk for a hip fracture is 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i/>
          <w:color w:val="000000" w:themeColor="text1"/>
          <w:sz w:val="24"/>
          <w:szCs w:val="24"/>
        </w:rPr>
        <w:t xml:space="preserve">% </w:t>
      </w:r>
      <w:r w:rsidRPr="00492FBC">
        <w:rPr>
          <w:color w:val="000000" w:themeColor="text1"/>
          <w:sz w:val="24"/>
          <w:szCs w:val="24"/>
        </w:rPr>
        <w:t xml:space="preserve">and for a major osteoporotic fracture is 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</w:rPr>
        <w:t xml:space="preserve">%. This fracture risk estimate was calculated using (List fracture risk calculator used such as FRAX) version </w:t>
      </w:r>
      <w:r w:rsidRPr="00492FBC">
        <w:rPr>
          <w:color w:val="000000" w:themeColor="text1"/>
          <w:sz w:val="24"/>
          <w:szCs w:val="24"/>
          <w:u w:val="single"/>
        </w:rPr>
        <w:tab/>
      </w:r>
      <w:r w:rsidRPr="00492FBC">
        <w:rPr>
          <w:color w:val="000000" w:themeColor="text1"/>
          <w:sz w:val="24"/>
          <w:szCs w:val="24"/>
        </w:rPr>
        <w:t xml:space="preserve"> and the following risk factors were selected.</w:t>
      </w:r>
      <w:r w:rsidR="00780D2E" w:rsidRPr="00492FBC">
        <w:rPr>
          <w:color w:val="000000" w:themeColor="text1"/>
          <w:sz w:val="24"/>
          <w:szCs w:val="24"/>
        </w:rPr>
        <w:t xml:space="preserve"> (Comment if TBS adjusted FRAX is reported)</w:t>
      </w:r>
    </w:p>
    <w:p w14:paraId="13D3CCA7" w14:textId="77777777" w:rsidR="00A303EF" w:rsidRPr="00492FBC" w:rsidRDefault="00A303EF" w:rsidP="00A303EF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087340AC" w14:textId="6B8AB9A7" w:rsidR="008A2266" w:rsidRPr="00492FBC" w:rsidRDefault="008A2266" w:rsidP="008A2266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Impression:</w:t>
      </w:r>
    </w:p>
    <w:p w14:paraId="4884B564" w14:textId="50801039" w:rsidR="008A2266" w:rsidRPr="00492FBC" w:rsidRDefault="008A2266" w:rsidP="008A2266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Based on</w:t>
      </w:r>
      <w:r w:rsidR="00A303EF" w:rsidRPr="00492FBC">
        <w:rPr>
          <w:color w:val="000000" w:themeColor="text1"/>
          <w:sz w:val="24"/>
          <w:szCs w:val="24"/>
        </w:rPr>
        <w:t xml:space="preserve"> lowest T-score, </w:t>
      </w:r>
      <w:r w:rsidR="004E4D16" w:rsidRPr="00492FBC">
        <w:rPr>
          <w:color w:val="000000" w:themeColor="text1"/>
          <w:sz w:val="24"/>
          <w:szCs w:val="24"/>
        </w:rPr>
        <w:t xml:space="preserve">the </w:t>
      </w:r>
      <w:r w:rsidRPr="00492FBC">
        <w:rPr>
          <w:color w:val="000000" w:themeColor="text1"/>
          <w:sz w:val="24"/>
          <w:szCs w:val="24"/>
        </w:rPr>
        <w:t xml:space="preserve">diagnosis </w:t>
      </w:r>
      <w:r w:rsidR="00636F17">
        <w:rPr>
          <w:color w:val="000000" w:themeColor="text1"/>
          <w:sz w:val="24"/>
          <w:szCs w:val="24"/>
        </w:rPr>
        <w:t>meets WHO criteria for</w:t>
      </w:r>
      <w:r w:rsidR="004E4D16" w:rsidRPr="00492FBC">
        <w:rPr>
          <w:color w:val="000000" w:themeColor="text1"/>
          <w:sz w:val="24"/>
          <w:szCs w:val="24"/>
        </w:rPr>
        <w:t xml:space="preserve"> _____________</w:t>
      </w:r>
      <w:r w:rsidRPr="00492FBC">
        <w:rPr>
          <w:color w:val="000000" w:themeColor="text1"/>
          <w:sz w:val="24"/>
          <w:szCs w:val="24"/>
          <w:u w:val="single"/>
        </w:rPr>
        <w:tab/>
      </w:r>
    </w:p>
    <w:p w14:paraId="57C58A5A" w14:textId="48985624" w:rsidR="00780D2E" w:rsidRPr="00492FBC" w:rsidRDefault="00780D2E" w:rsidP="008A2266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Stable, significant increase or decrease in BMD</w:t>
      </w:r>
    </w:p>
    <w:p w14:paraId="172D6E4F" w14:textId="30A5979C" w:rsidR="00606A0A" w:rsidRPr="00492FBC" w:rsidRDefault="00606A0A" w:rsidP="008A2266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Moderate/Severe vertebral fracture at _________</w:t>
      </w:r>
      <w:proofErr w:type="gramStart"/>
      <w:r w:rsidRPr="00492FBC">
        <w:rPr>
          <w:color w:val="000000" w:themeColor="text1"/>
          <w:sz w:val="24"/>
          <w:szCs w:val="24"/>
        </w:rPr>
        <w:t>_(</w:t>
      </w:r>
      <w:proofErr w:type="gramEnd"/>
      <w:r w:rsidRPr="00492FBC">
        <w:rPr>
          <w:color w:val="000000" w:themeColor="text1"/>
          <w:sz w:val="24"/>
          <w:szCs w:val="24"/>
        </w:rPr>
        <w:t>specify levels)</w:t>
      </w:r>
    </w:p>
    <w:p w14:paraId="262F8BEE" w14:textId="77777777" w:rsidR="008A2266" w:rsidRPr="00492FBC" w:rsidRDefault="008A2266" w:rsidP="008A2266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31AFEAFB" w14:textId="77777777" w:rsidR="00D9170A" w:rsidRPr="00492FBC" w:rsidRDefault="00D9170A" w:rsidP="00D9170A">
      <w:pPr>
        <w:pStyle w:val="BodyText"/>
        <w:spacing w:line="238" w:lineRule="auto"/>
        <w:rPr>
          <w:bCs/>
          <w:color w:val="000000" w:themeColor="text1"/>
          <w:sz w:val="24"/>
          <w:szCs w:val="24"/>
        </w:rPr>
      </w:pPr>
      <w:r w:rsidRPr="00492FBC">
        <w:rPr>
          <w:bCs/>
          <w:color w:val="000000" w:themeColor="text1"/>
          <w:sz w:val="24"/>
          <w:szCs w:val="24"/>
        </w:rPr>
        <w:t>At this facility, the least significant change in BMD with 95% confidence is</w:t>
      </w:r>
    </w:p>
    <w:p w14:paraId="42AD7797" w14:textId="69711FDC" w:rsidR="00D9170A" w:rsidRPr="00492FBC" w:rsidRDefault="00D9170A" w:rsidP="00D9170A">
      <w:pPr>
        <w:pStyle w:val="BodyText"/>
        <w:spacing w:line="238" w:lineRule="auto"/>
        <w:rPr>
          <w:bCs/>
          <w:color w:val="000000" w:themeColor="text1"/>
          <w:sz w:val="24"/>
          <w:szCs w:val="24"/>
        </w:rPr>
      </w:pPr>
      <w:r w:rsidRPr="00492FBC">
        <w:rPr>
          <w:bCs/>
          <w:color w:val="000000" w:themeColor="text1"/>
          <w:sz w:val="24"/>
          <w:szCs w:val="24"/>
          <w:u w:val="single"/>
        </w:rPr>
        <w:tab/>
      </w:r>
      <w:r w:rsidRPr="00492FBC">
        <w:rPr>
          <w:bCs/>
          <w:color w:val="000000" w:themeColor="text1"/>
          <w:sz w:val="24"/>
          <w:szCs w:val="24"/>
        </w:rPr>
        <w:t>g/cm</w:t>
      </w:r>
      <w:r w:rsidRPr="00492FBC">
        <w:rPr>
          <w:bCs/>
          <w:color w:val="000000" w:themeColor="text1"/>
          <w:sz w:val="24"/>
          <w:szCs w:val="24"/>
          <w:vertAlign w:val="superscript"/>
        </w:rPr>
        <w:t>2</w:t>
      </w:r>
      <w:r w:rsidRPr="00492FBC">
        <w:rPr>
          <w:bCs/>
          <w:color w:val="000000" w:themeColor="text1"/>
          <w:sz w:val="24"/>
          <w:szCs w:val="24"/>
        </w:rPr>
        <w:t xml:space="preserve"> at the L1-4 spine, and </w:t>
      </w:r>
      <w:r w:rsidRPr="00492FBC">
        <w:rPr>
          <w:bCs/>
          <w:color w:val="000000" w:themeColor="text1"/>
          <w:sz w:val="24"/>
          <w:szCs w:val="24"/>
          <w:u w:val="single"/>
        </w:rPr>
        <w:tab/>
      </w:r>
      <w:r w:rsidRPr="00492FBC">
        <w:rPr>
          <w:bCs/>
          <w:color w:val="000000" w:themeColor="text1"/>
          <w:sz w:val="24"/>
          <w:szCs w:val="24"/>
          <w:u w:val="single"/>
        </w:rPr>
        <w:tab/>
      </w:r>
      <w:r w:rsidRPr="00492FBC">
        <w:rPr>
          <w:bCs/>
          <w:color w:val="000000" w:themeColor="text1"/>
          <w:sz w:val="24"/>
          <w:szCs w:val="24"/>
        </w:rPr>
        <w:t xml:space="preserve"> g/cm</w:t>
      </w:r>
      <w:r w:rsidRPr="00492FBC">
        <w:rPr>
          <w:bCs/>
          <w:color w:val="000000" w:themeColor="text1"/>
          <w:sz w:val="24"/>
          <w:szCs w:val="24"/>
          <w:vertAlign w:val="superscript"/>
        </w:rPr>
        <w:t>2</w:t>
      </w:r>
      <w:r w:rsidRPr="00492FBC">
        <w:rPr>
          <w:bCs/>
          <w:color w:val="000000" w:themeColor="text1"/>
          <w:sz w:val="24"/>
          <w:szCs w:val="24"/>
        </w:rPr>
        <w:t xml:space="preserve"> at the total hip, </w:t>
      </w:r>
      <w:r w:rsidRPr="00492FBC">
        <w:rPr>
          <w:bCs/>
          <w:color w:val="000000" w:themeColor="text1"/>
          <w:sz w:val="24"/>
          <w:szCs w:val="24"/>
          <w:u w:val="single"/>
        </w:rPr>
        <w:tab/>
      </w:r>
      <w:r w:rsidRPr="00492FBC">
        <w:rPr>
          <w:bCs/>
          <w:color w:val="000000" w:themeColor="text1"/>
          <w:sz w:val="24"/>
          <w:szCs w:val="24"/>
          <w:u w:val="single"/>
        </w:rPr>
        <w:tab/>
      </w:r>
      <w:r w:rsidRPr="00492FBC">
        <w:rPr>
          <w:bCs/>
          <w:color w:val="000000" w:themeColor="text1"/>
          <w:sz w:val="24"/>
          <w:szCs w:val="24"/>
        </w:rPr>
        <w:t xml:space="preserve"> g/cm</w:t>
      </w:r>
      <w:r w:rsidRPr="00492FBC">
        <w:rPr>
          <w:bCs/>
          <w:color w:val="000000" w:themeColor="text1"/>
          <w:sz w:val="24"/>
          <w:szCs w:val="24"/>
          <w:vertAlign w:val="superscript"/>
        </w:rPr>
        <w:t>2</w:t>
      </w:r>
      <w:r w:rsidRPr="00492FBC">
        <w:rPr>
          <w:bCs/>
          <w:color w:val="000000" w:themeColor="text1"/>
          <w:sz w:val="24"/>
          <w:szCs w:val="24"/>
        </w:rPr>
        <w:t xml:space="preserve"> </w:t>
      </w:r>
    </w:p>
    <w:p w14:paraId="7EA1BB56" w14:textId="1D9CC15D" w:rsidR="00D9170A" w:rsidRPr="00492FBC" w:rsidRDefault="00D9170A" w:rsidP="00D9170A">
      <w:pPr>
        <w:pStyle w:val="BodyText"/>
        <w:spacing w:line="238" w:lineRule="auto"/>
        <w:rPr>
          <w:b/>
          <w:color w:val="000000" w:themeColor="text1"/>
          <w:sz w:val="24"/>
          <w:szCs w:val="24"/>
        </w:rPr>
      </w:pPr>
    </w:p>
    <w:p w14:paraId="2C812C1A" w14:textId="53491A68" w:rsidR="00445271" w:rsidRPr="00492FBC" w:rsidRDefault="00445271" w:rsidP="00583EC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Follow-up DXA:</w:t>
      </w:r>
    </w:p>
    <w:p w14:paraId="6378524A" w14:textId="1E0FD6CE" w:rsidR="00445271" w:rsidRPr="00492FBC" w:rsidRDefault="006A631E" w:rsidP="00445271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 xml:space="preserve">Follow-up exam is recommended </w:t>
      </w:r>
      <w:proofErr w:type="gramStart"/>
      <w:r w:rsidRPr="00492FBC">
        <w:rPr>
          <w:color w:val="000000" w:themeColor="text1"/>
          <w:sz w:val="24"/>
          <w:szCs w:val="24"/>
        </w:rPr>
        <w:t>as long as</w:t>
      </w:r>
      <w:proofErr w:type="gramEnd"/>
      <w:r w:rsidRPr="00492FBC">
        <w:rPr>
          <w:color w:val="000000" w:themeColor="text1"/>
          <w:sz w:val="24"/>
          <w:szCs w:val="24"/>
        </w:rPr>
        <w:t xml:space="preserve"> a valid comparison is available, and the precise timing depends on particular clinical circumstances.</w:t>
      </w:r>
    </w:p>
    <w:p w14:paraId="5AF08405" w14:textId="1BFDACBB" w:rsidR="008A2266" w:rsidRPr="00492FBC" w:rsidRDefault="008A2266" w:rsidP="00445271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6DD83136" w14:textId="77777777" w:rsidR="008A2266" w:rsidRPr="00492FBC" w:rsidRDefault="008A2266" w:rsidP="00445271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72FE151C" w14:textId="0F75432D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b/>
          <w:bCs/>
          <w:color w:val="000000" w:themeColor="text1"/>
          <w:sz w:val="24"/>
          <w:szCs w:val="24"/>
          <w:u w:val="single"/>
        </w:rPr>
        <w:t>Full-Length Femur Imaging</w:t>
      </w:r>
    </w:p>
    <w:p w14:paraId="187CC9A3" w14:textId="77777777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color w:val="000000" w:themeColor="text1"/>
          <w:sz w:val="24"/>
          <w:szCs w:val="24"/>
        </w:rPr>
        <w:t> </w:t>
      </w:r>
    </w:p>
    <w:p w14:paraId="06502C70" w14:textId="73D20279" w:rsidR="00636F17" w:rsidRDefault="00636F17" w:rsidP="00636F1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636F17">
        <w:rPr>
          <w:b/>
          <w:bCs/>
          <w:color w:val="000000" w:themeColor="text1"/>
          <w:sz w:val="24"/>
          <w:szCs w:val="24"/>
          <w:u w:val="single"/>
        </w:rPr>
        <w:t>Indication: </w:t>
      </w:r>
    </w:p>
    <w:p w14:paraId="5AB5DC75" w14:textId="141DB8D1" w:rsidR="00F26433" w:rsidRDefault="00F26433" w:rsidP="00636F1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47D211C9" w14:textId="77777777" w:rsidR="00F26433" w:rsidRPr="00492FBC" w:rsidRDefault="00F26433" w:rsidP="00F26433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92FBC">
        <w:rPr>
          <w:b/>
          <w:bCs/>
          <w:color w:val="000000" w:themeColor="text1"/>
          <w:sz w:val="24"/>
          <w:szCs w:val="24"/>
          <w:u w:val="single"/>
        </w:rPr>
        <w:t>Comparison Study: (select from the following)</w:t>
      </w:r>
    </w:p>
    <w:p w14:paraId="61013943" w14:textId="77777777" w:rsidR="00F26433" w:rsidRPr="00492FBC" w:rsidRDefault="00F26433" w:rsidP="00F26433">
      <w:pPr>
        <w:pStyle w:val="BodyText"/>
        <w:numPr>
          <w:ilvl w:val="0"/>
          <w:numId w:val="5"/>
        </w:numPr>
        <w:spacing w:line="238" w:lineRule="auto"/>
        <w:ind w:left="540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No prior study for comparison</w:t>
      </w:r>
    </w:p>
    <w:p w14:paraId="5347D742" w14:textId="398985F0" w:rsidR="00F26433" w:rsidRPr="00F26433" w:rsidRDefault="00F26433" w:rsidP="00F26433">
      <w:pPr>
        <w:pStyle w:val="BodyText"/>
        <w:numPr>
          <w:ilvl w:val="0"/>
          <w:numId w:val="5"/>
        </w:numPr>
        <w:spacing w:line="238" w:lineRule="auto"/>
        <w:ind w:left="540"/>
        <w:rPr>
          <w:color w:val="000000" w:themeColor="text1"/>
          <w:sz w:val="24"/>
          <w:szCs w:val="24"/>
        </w:rPr>
      </w:pPr>
      <w:r w:rsidRPr="00492FBC">
        <w:rPr>
          <w:color w:val="000000" w:themeColor="text1"/>
          <w:sz w:val="24"/>
          <w:szCs w:val="24"/>
        </w:rPr>
        <w:t>Current study compared to that of (DATE(S))</w:t>
      </w:r>
    </w:p>
    <w:p w14:paraId="4CC57D55" w14:textId="77777777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b/>
          <w:bCs/>
          <w:color w:val="000000" w:themeColor="text1"/>
          <w:sz w:val="24"/>
          <w:szCs w:val="24"/>
        </w:rPr>
        <w:t> </w:t>
      </w:r>
    </w:p>
    <w:p w14:paraId="4F660C01" w14:textId="77777777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b/>
          <w:bCs/>
          <w:color w:val="000000" w:themeColor="text1"/>
          <w:sz w:val="24"/>
          <w:szCs w:val="24"/>
        </w:rPr>
        <w:t>Findings: </w:t>
      </w:r>
    </w:p>
    <w:p w14:paraId="18E7724F" w14:textId="37BACC9A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color w:val="000000" w:themeColor="text1"/>
          <w:sz w:val="24"/>
          <w:szCs w:val="24"/>
        </w:rPr>
        <w:t>Focal lateral cortical thickening</w:t>
      </w:r>
      <w:r w:rsidR="00F26433">
        <w:rPr>
          <w:color w:val="000000" w:themeColor="text1"/>
          <w:sz w:val="24"/>
          <w:szCs w:val="24"/>
        </w:rPr>
        <w:t xml:space="preserve">: </w:t>
      </w:r>
      <w:r w:rsidR="00F26433">
        <w:rPr>
          <w:color w:val="000000" w:themeColor="text1"/>
          <w:sz w:val="24"/>
          <w:szCs w:val="24"/>
          <w:u w:val="single"/>
        </w:rPr>
        <w:tab/>
      </w:r>
      <w:r w:rsidR="00F26433">
        <w:rPr>
          <w:color w:val="000000" w:themeColor="text1"/>
          <w:sz w:val="24"/>
          <w:szCs w:val="24"/>
          <w:u w:val="single"/>
        </w:rPr>
        <w:tab/>
      </w:r>
      <w:r w:rsidR="00F26433">
        <w:rPr>
          <w:color w:val="000000" w:themeColor="text1"/>
          <w:sz w:val="24"/>
          <w:szCs w:val="24"/>
          <w:u w:val="single"/>
        </w:rPr>
        <w:tab/>
        <w:t xml:space="preserve"> (</w:t>
      </w:r>
      <w:r w:rsidRPr="00636F17">
        <w:rPr>
          <w:color w:val="000000" w:themeColor="text1"/>
          <w:sz w:val="24"/>
          <w:szCs w:val="24"/>
        </w:rPr>
        <w:t>Definite</w:t>
      </w:r>
      <w:r w:rsidR="00F26433">
        <w:rPr>
          <w:color w:val="000000" w:themeColor="text1"/>
          <w:sz w:val="24"/>
          <w:szCs w:val="24"/>
        </w:rPr>
        <w:t xml:space="preserve">, </w:t>
      </w:r>
      <w:r w:rsidRPr="00636F17">
        <w:rPr>
          <w:color w:val="000000" w:themeColor="text1"/>
          <w:sz w:val="24"/>
          <w:szCs w:val="24"/>
        </w:rPr>
        <w:t>Possible</w:t>
      </w:r>
      <w:r w:rsidR="00F26433">
        <w:rPr>
          <w:color w:val="000000" w:themeColor="text1"/>
          <w:sz w:val="24"/>
          <w:szCs w:val="24"/>
        </w:rPr>
        <w:t xml:space="preserve">, </w:t>
      </w:r>
      <w:r w:rsidRPr="00636F17">
        <w:rPr>
          <w:color w:val="000000" w:themeColor="text1"/>
          <w:sz w:val="24"/>
          <w:szCs w:val="24"/>
        </w:rPr>
        <w:t>Absent</w:t>
      </w:r>
      <w:r w:rsidR="00F26433">
        <w:rPr>
          <w:color w:val="000000" w:themeColor="text1"/>
          <w:sz w:val="24"/>
          <w:szCs w:val="24"/>
        </w:rPr>
        <w:t>)</w:t>
      </w:r>
    </w:p>
    <w:p w14:paraId="0219026A" w14:textId="078B8B08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color w:val="000000" w:themeColor="text1"/>
          <w:sz w:val="24"/>
          <w:szCs w:val="24"/>
        </w:rPr>
        <w:t>Transverse lucent line</w:t>
      </w:r>
      <w:r w:rsidR="00F26433">
        <w:rPr>
          <w:color w:val="000000" w:themeColor="text1"/>
          <w:sz w:val="24"/>
          <w:szCs w:val="24"/>
        </w:rPr>
        <w:t xml:space="preserve">: </w:t>
      </w:r>
      <w:r w:rsidR="00F26433">
        <w:rPr>
          <w:color w:val="000000" w:themeColor="text1"/>
          <w:sz w:val="24"/>
          <w:szCs w:val="24"/>
          <w:u w:val="single"/>
        </w:rPr>
        <w:tab/>
      </w:r>
      <w:r w:rsidR="00F26433">
        <w:rPr>
          <w:color w:val="000000" w:themeColor="text1"/>
          <w:sz w:val="24"/>
          <w:szCs w:val="24"/>
          <w:u w:val="single"/>
        </w:rPr>
        <w:tab/>
      </w:r>
      <w:r w:rsidR="00F26433">
        <w:rPr>
          <w:color w:val="000000" w:themeColor="text1"/>
          <w:sz w:val="24"/>
          <w:szCs w:val="24"/>
          <w:u w:val="single"/>
        </w:rPr>
        <w:tab/>
      </w:r>
      <w:r w:rsidR="00F26433">
        <w:rPr>
          <w:color w:val="000000" w:themeColor="text1"/>
          <w:sz w:val="24"/>
          <w:szCs w:val="24"/>
        </w:rPr>
        <w:t xml:space="preserve"> (</w:t>
      </w:r>
      <w:r w:rsidRPr="00636F17">
        <w:rPr>
          <w:color w:val="000000" w:themeColor="text1"/>
          <w:sz w:val="24"/>
          <w:szCs w:val="24"/>
        </w:rPr>
        <w:t>Present</w:t>
      </w:r>
      <w:r w:rsidR="00F26433">
        <w:rPr>
          <w:color w:val="000000" w:themeColor="text1"/>
          <w:sz w:val="24"/>
          <w:szCs w:val="24"/>
        </w:rPr>
        <w:t xml:space="preserve">, </w:t>
      </w:r>
      <w:r w:rsidRPr="00636F17">
        <w:rPr>
          <w:color w:val="000000" w:themeColor="text1"/>
          <w:sz w:val="24"/>
          <w:szCs w:val="24"/>
        </w:rPr>
        <w:t>Absent</w:t>
      </w:r>
      <w:r w:rsidR="00F26433">
        <w:rPr>
          <w:color w:val="000000" w:themeColor="text1"/>
          <w:sz w:val="24"/>
          <w:szCs w:val="24"/>
        </w:rPr>
        <w:t>)</w:t>
      </w:r>
    </w:p>
    <w:p w14:paraId="147E5B73" w14:textId="4FCCD610" w:rsid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color w:val="000000" w:themeColor="text1"/>
          <w:sz w:val="24"/>
          <w:szCs w:val="24"/>
        </w:rPr>
        <w:t>Diffuse cortical thickening</w:t>
      </w:r>
      <w:r w:rsidR="007F65AE">
        <w:rPr>
          <w:color w:val="000000" w:themeColor="text1"/>
          <w:sz w:val="24"/>
          <w:szCs w:val="24"/>
        </w:rPr>
        <w:t xml:space="preserve">: </w:t>
      </w:r>
      <w:r w:rsidR="007F65AE">
        <w:rPr>
          <w:color w:val="000000" w:themeColor="text1"/>
          <w:sz w:val="24"/>
          <w:szCs w:val="24"/>
          <w:u w:val="single"/>
        </w:rPr>
        <w:tab/>
      </w:r>
      <w:r w:rsidR="007F65AE">
        <w:rPr>
          <w:color w:val="000000" w:themeColor="text1"/>
          <w:sz w:val="24"/>
          <w:szCs w:val="24"/>
          <w:u w:val="single"/>
        </w:rPr>
        <w:tab/>
      </w:r>
      <w:r w:rsidR="007F65AE">
        <w:rPr>
          <w:color w:val="000000" w:themeColor="text1"/>
          <w:sz w:val="24"/>
          <w:szCs w:val="24"/>
          <w:u w:val="single"/>
        </w:rPr>
        <w:tab/>
        <w:t>(</w:t>
      </w:r>
      <w:r w:rsidRPr="00636F17">
        <w:rPr>
          <w:color w:val="000000" w:themeColor="text1"/>
          <w:sz w:val="24"/>
          <w:szCs w:val="24"/>
        </w:rPr>
        <w:t>Present</w:t>
      </w:r>
      <w:r w:rsidR="007F65AE">
        <w:rPr>
          <w:color w:val="000000" w:themeColor="text1"/>
          <w:sz w:val="24"/>
          <w:szCs w:val="24"/>
        </w:rPr>
        <w:t xml:space="preserve">, </w:t>
      </w:r>
      <w:r w:rsidRPr="00636F17">
        <w:rPr>
          <w:color w:val="000000" w:themeColor="text1"/>
          <w:sz w:val="24"/>
          <w:szCs w:val="24"/>
        </w:rPr>
        <w:t>Absent</w:t>
      </w:r>
      <w:r w:rsidR="007F65AE">
        <w:rPr>
          <w:color w:val="000000" w:themeColor="text1"/>
          <w:sz w:val="24"/>
          <w:szCs w:val="24"/>
        </w:rPr>
        <w:t>)</w:t>
      </w:r>
    </w:p>
    <w:p w14:paraId="003CFEB4" w14:textId="10B07C6A" w:rsidR="007F65AE" w:rsidRDefault="007F65AE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5DA1AF78" w14:textId="7A88A069" w:rsidR="007F65AE" w:rsidRPr="007F65AE" w:rsidRDefault="007F65AE" w:rsidP="00636F1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  <w:u w:val="single"/>
        </w:rPr>
      </w:pPr>
      <w:r w:rsidRPr="007F65AE">
        <w:rPr>
          <w:b/>
          <w:bCs/>
          <w:color w:val="000000" w:themeColor="text1"/>
          <w:sz w:val="24"/>
          <w:szCs w:val="24"/>
          <w:u w:val="single"/>
        </w:rPr>
        <w:t>Impression:</w:t>
      </w:r>
    </w:p>
    <w:p w14:paraId="667EDF91" w14:textId="0BCE3DEA" w:rsidR="007F65AE" w:rsidRDefault="00340DE9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340DE9">
        <w:rPr>
          <w:i/>
          <w:iCs/>
          <w:color w:val="000000" w:themeColor="text1"/>
          <w:sz w:val="24"/>
          <w:szCs w:val="24"/>
        </w:rPr>
        <w:t xml:space="preserve">Based on finding, use table below to </w:t>
      </w:r>
      <w:r>
        <w:rPr>
          <w:i/>
          <w:iCs/>
          <w:color w:val="000000" w:themeColor="text1"/>
          <w:sz w:val="24"/>
          <w:szCs w:val="24"/>
        </w:rPr>
        <w:t>list</w:t>
      </w:r>
      <w:r w:rsidR="007F65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7F65AE">
        <w:rPr>
          <w:color w:val="000000" w:themeColor="text1"/>
          <w:sz w:val="24"/>
          <w:szCs w:val="24"/>
        </w:rPr>
        <w:t>Non-diagnostic, Low likelihood, Moderate likelihood, High likelihood</w:t>
      </w:r>
      <w:r>
        <w:rPr>
          <w:color w:val="000000" w:themeColor="text1"/>
          <w:sz w:val="24"/>
          <w:szCs w:val="24"/>
        </w:rPr>
        <w:t>)</w:t>
      </w:r>
      <w:r w:rsidR="007F65A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of fracture.</w:t>
      </w:r>
    </w:p>
    <w:p w14:paraId="0229E9D1" w14:textId="31A33650" w:rsidR="00340DE9" w:rsidRDefault="00340DE9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5D67604B" w14:textId="6652FCE6" w:rsidR="00340DE9" w:rsidRPr="00340DE9" w:rsidRDefault="00340DE9" w:rsidP="00636F17">
      <w:pPr>
        <w:pStyle w:val="BodyText"/>
        <w:spacing w:line="238" w:lineRule="auto"/>
        <w:rPr>
          <w:b/>
          <w:bCs/>
          <w:color w:val="000000" w:themeColor="text1"/>
          <w:sz w:val="24"/>
          <w:szCs w:val="24"/>
        </w:rPr>
      </w:pPr>
      <w:r w:rsidRPr="00340DE9">
        <w:rPr>
          <w:b/>
          <w:bCs/>
          <w:color w:val="000000" w:themeColor="text1"/>
          <w:sz w:val="24"/>
          <w:szCs w:val="24"/>
        </w:rPr>
        <w:t>Recommendation:</w:t>
      </w:r>
    </w:p>
    <w:p w14:paraId="3387F93B" w14:textId="6FCB41B8" w:rsidR="00340DE9" w:rsidRDefault="00340DE9" w:rsidP="00340DE9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340DE9">
        <w:rPr>
          <w:i/>
          <w:iCs/>
          <w:color w:val="000000" w:themeColor="text1"/>
          <w:sz w:val="24"/>
          <w:szCs w:val="24"/>
        </w:rPr>
        <w:t xml:space="preserve">Based on </w:t>
      </w:r>
      <w:r>
        <w:rPr>
          <w:i/>
          <w:iCs/>
          <w:color w:val="000000" w:themeColor="text1"/>
          <w:sz w:val="24"/>
          <w:szCs w:val="24"/>
        </w:rPr>
        <w:t>impression</w:t>
      </w:r>
      <w:r w:rsidRPr="00340DE9">
        <w:rPr>
          <w:i/>
          <w:iCs/>
          <w:color w:val="000000" w:themeColor="text1"/>
          <w:sz w:val="24"/>
          <w:szCs w:val="24"/>
        </w:rPr>
        <w:t xml:space="preserve">, use table below to </w:t>
      </w:r>
      <w:r>
        <w:rPr>
          <w:i/>
          <w:iCs/>
          <w:color w:val="000000" w:themeColor="text1"/>
          <w:sz w:val="24"/>
          <w:szCs w:val="24"/>
        </w:rPr>
        <w:t>list recommendation</w:t>
      </w:r>
      <w:r>
        <w:rPr>
          <w:color w:val="000000" w:themeColor="text1"/>
          <w:sz w:val="24"/>
          <w:szCs w:val="24"/>
        </w:rPr>
        <w:t>.</w:t>
      </w:r>
    </w:p>
    <w:p w14:paraId="18BCF872" w14:textId="77777777" w:rsidR="00340DE9" w:rsidRPr="00636F17" w:rsidRDefault="00340DE9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p w14:paraId="4E87146F" w14:textId="77777777" w:rsidR="00636F17" w:rsidRPr="00636F17" w:rsidRDefault="00636F17" w:rsidP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  <w:r w:rsidRPr="00636F17">
        <w:rPr>
          <w:color w:val="000000" w:themeColor="text1"/>
          <w:sz w:val="24"/>
          <w:szCs w:val="24"/>
        </w:rPr>
        <w:t> </w:t>
      </w: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928"/>
      </w:tblGrid>
      <w:tr w:rsidR="00636F17" w:rsidRPr="00636F17" w14:paraId="2BF33C3D" w14:textId="77777777" w:rsidTr="00636F17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C602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b/>
                <w:bCs/>
                <w:color w:val="000000" w:themeColor="text1"/>
                <w:sz w:val="24"/>
                <w:szCs w:val="24"/>
              </w:rPr>
              <w:t>Findings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12D8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b/>
                <w:bCs/>
                <w:color w:val="000000" w:themeColor="text1"/>
                <w:sz w:val="24"/>
                <w:szCs w:val="24"/>
              </w:rPr>
              <w:t>Impression</w:t>
            </w: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B352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b/>
                <w:bCs/>
                <w:color w:val="000000" w:themeColor="text1"/>
                <w:sz w:val="24"/>
                <w:szCs w:val="24"/>
              </w:rPr>
              <w:t>Recommendation</w:t>
            </w:r>
          </w:p>
        </w:tc>
      </w:tr>
      <w:tr w:rsidR="00636F17" w:rsidRPr="00636F17" w14:paraId="30DF3743" w14:textId="77777777" w:rsidTr="00636F1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B5EB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Inadequate imaging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D656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Non-diagnostic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4C2D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Consider dedicated radiographs to evaluate patient if necessary.</w:t>
            </w:r>
          </w:p>
        </w:tc>
      </w:tr>
      <w:tr w:rsidR="00636F17" w:rsidRPr="00636F17" w14:paraId="025577C2" w14:textId="77777777" w:rsidTr="00636F1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C1CE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Isolated diffuse cortical thickening or no findings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EC15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LOW likelihood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98FF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Clinical correlation to decide if dedicated radiographs are necessary.</w:t>
            </w:r>
          </w:p>
        </w:tc>
      </w:tr>
      <w:tr w:rsidR="00636F17" w:rsidRPr="00636F17" w14:paraId="74DB82D6" w14:textId="77777777" w:rsidTr="00636F1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108A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Possible focal lateral cortical thickening without a transverse lucent line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476A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MODERATE likelihood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90B6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Clinical correlation and dedicated radiographs for clarification.</w:t>
            </w:r>
          </w:p>
        </w:tc>
      </w:tr>
      <w:tr w:rsidR="00636F17" w:rsidRPr="00636F17" w14:paraId="3A8D03F3" w14:textId="77777777" w:rsidTr="00636F17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3B2A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Definite focal lateral cortical thickening and a transverse lucent line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71A0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HIGH likelihood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103E" w14:textId="77777777" w:rsidR="00636F17" w:rsidRPr="00636F17" w:rsidRDefault="00636F17" w:rsidP="00636F17">
            <w:pPr>
              <w:pStyle w:val="BodyText"/>
              <w:spacing w:line="238" w:lineRule="auto"/>
              <w:rPr>
                <w:color w:val="000000" w:themeColor="text1"/>
                <w:sz w:val="24"/>
                <w:szCs w:val="24"/>
              </w:rPr>
            </w:pPr>
            <w:r w:rsidRPr="00636F17">
              <w:rPr>
                <w:color w:val="000000" w:themeColor="text1"/>
                <w:sz w:val="24"/>
                <w:szCs w:val="24"/>
              </w:rPr>
              <w:t>Urgent consultation and further imaging are recommended.</w:t>
            </w:r>
          </w:p>
        </w:tc>
      </w:tr>
    </w:tbl>
    <w:p w14:paraId="17973179" w14:textId="77777777" w:rsidR="00636F17" w:rsidRPr="00636F17" w:rsidRDefault="00636F17">
      <w:pPr>
        <w:pStyle w:val="BodyText"/>
        <w:spacing w:line="238" w:lineRule="auto"/>
        <w:rPr>
          <w:color w:val="000000" w:themeColor="text1"/>
          <w:sz w:val="24"/>
          <w:szCs w:val="24"/>
        </w:rPr>
      </w:pPr>
    </w:p>
    <w:sectPr w:rsidR="00636F17" w:rsidRPr="00636F17" w:rsidSect="00712F0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AF6"/>
    <w:multiLevelType w:val="hybridMultilevel"/>
    <w:tmpl w:val="6E425834"/>
    <w:lvl w:ilvl="0" w:tplc="FF422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67759"/>
    <w:multiLevelType w:val="hybridMultilevel"/>
    <w:tmpl w:val="88C8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79E1"/>
    <w:multiLevelType w:val="multilevel"/>
    <w:tmpl w:val="1BC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B5C93"/>
    <w:multiLevelType w:val="hybridMultilevel"/>
    <w:tmpl w:val="97FE6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B50E58"/>
    <w:multiLevelType w:val="hybridMultilevel"/>
    <w:tmpl w:val="DB82A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3B12B0"/>
    <w:multiLevelType w:val="multilevel"/>
    <w:tmpl w:val="287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432B8"/>
    <w:multiLevelType w:val="hybridMultilevel"/>
    <w:tmpl w:val="184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F1521"/>
    <w:multiLevelType w:val="multilevel"/>
    <w:tmpl w:val="A67C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C32BF"/>
    <w:multiLevelType w:val="hybridMultilevel"/>
    <w:tmpl w:val="1DA0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F2182"/>
    <w:multiLevelType w:val="multilevel"/>
    <w:tmpl w:val="7BDA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817569">
    <w:abstractNumId w:val="6"/>
  </w:num>
  <w:num w:numId="2" w16cid:durableId="839153828">
    <w:abstractNumId w:val="3"/>
  </w:num>
  <w:num w:numId="3" w16cid:durableId="677973817">
    <w:abstractNumId w:val="4"/>
  </w:num>
  <w:num w:numId="4" w16cid:durableId="1218322650">
    <w:abstractNumId w:val="8"/>
  </w:num>
  <w:num w:numId="5" w16cid:durableId="1753969412">
    <w:abstractNumId w:val="0"/>
  </w:num>
  <w:num w:numId="6" w16cid:durableId="1471243203">
    <w:abstractNumId w:val="9"/>
  </w:num>
  <w:num w:numId="7" w16cid:durableId="1188836495">
    <w:abstractNumId w:val="1"/>
  </w:num>
  <w:num w:numId="8" w16cid:durableId="1777557910">
    <w:abstractNumId w:val="5"/>
  </w:num>
  <w:num w:numId="9" w16cid:durableId="384526745">
    <w:abstractNumId w:val="2"/>
  </w:num>
  <w:num w:numId="10" w16cid:durableId="1587418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C3"/>
    <w:rsid w:val="000043A2"/>
    <w:rsid w:val="00005730"/>
    <w:rsid w:val="00055698"/>
    <w:rsid w:val="00061C93"/>
    <w:rsid w:val="00071A1A"/>
    <w:rsid w:val="00075252"/>
    <w:rsid w:val="00080A70"/>
    <w:rsid w:val="00083411"/>
    <w:rsid w:val="000B4CD3"/>
    <w:rsid w:val="000B501C"/>
    <w:rsid w:val="000C0A25"/>
    <w:rsid w:val="000D69FD"/>
    <w:rsid w:val="000E0FEA"/>
    <w:rsid w:val="000E5AE0"/>
    <w:rsid w:val="000E7D7A"/>
    <w:rsid w:val="000F20A3"/>
    <w:rsid w:val="000F44C3"/>
    <w:rsid w:val="0012374A"/>
    <w:rsid w:val="00126FDF"/>
    <w:rsid w:val="00133C76"/>
    <w:rsid w:val="00186EAA"/>
    <w:rsid w:val="0018729A"/>
    <w:rsid w:val="00192012"/>
    <w:rsid w:val="001B7F4D"/>
    <w:rsid w:val="001E29CE"/>
    <w:rsid w:val="001E2E2A"/>
    <w:rsid w:val="00235898"/>
    <w:rsid w:val="00283CC3"/>
    <w:rsid w:val="00286DFC"/>
    <w:rsid w:val="0029771C"/>
    <w:rsid w:val="002A7803"/>
    <w:rsid w:val="00306C24"/>
    <w:rsid w:val="00332E79"/>
    <w:rsid w:val="00337A87"/>
    <w:rsid w:val="00340DE9"/>
    <w:rsid w:val="003813E3"/>
    <w:rsid w:val="00410131"/>
    <w:rsid w:val="004109A0"/>
    <w:rsid w:val="00445271"/>
    <w:rsid w:val="004656CC"/>
    <w:rsid w:val="00475BBE"/>
    <w:rsid w:val="00483B33"/>
    <w:rsid w:val="00484841"/>
    <w:rsid w:val="00492FBC"/>
    <w:rsid w:val="004D3D8B"/>
    <w:rsid w:val="004D4E56"/>
    <w:rsid w:val="004D7DE8"/>
    <w:rsid w:val="004E3D7E"/>
    <w:rsid w:val="004E4D16"/>
    <w:rsid w:val="004F0B51"/>
    <w:rsid w:val="004F41C9"/>
    <w:rsid w:val="00514D90"/>
    <w:rsid w:val="005174BF"/>
    <w:rsid w:val="00554625"/>
    <w:rsid w:val="005760C9"/>
    <w:rsid w:val="00580E80"/>
    <w:rsid w:val="00583EC3"/>
    <w:rsid w:val="00586B2A"/>
    <w:rsid w:val="00591FEF"/>
    <w:rsid w:val="005A550C"/>
    <w:rsid w:val="005A7C28"/>
    <w:rsid w:val="005C045B"/>
    <w:rsid w:val="005D2EAF"/>
    <w:rsid w:val="005E1AB4"/>
    <w:rsid w:val="005F7F6A"/>
    <w:rsid w:val="00604BB0"/>
    <w:rsid w:val="00606A0A"/>
    <w:rsid w:val="00614E60"/>
    <w:rsid w:val="00635B49"/>
    <w:rsid w:val="00636F17"/>
    <w:rsid w:val="0066689E"/>
    <w:rsid w:val="00667ABB"/>
    <w:rsid w:val="006706EF"/>
    <w:rsid w:val="00694704"/>
    <w:rsid w:val="0069651B"/>
    <w:rsid w:val="006A3F43"/>
    <w:rsid w:val="006A631E"/>
    <w:rsid w:val="006B5BAF"/>
    <w:rsid w:val="006D0C24"/>
    <w:rsid w:val="006F3C24"/>
    <w:rsid w:val="00712F0F"/>
    <w:rsid w:val="0076350B"/>
    <w:rsid w:val="00780BF2"/>
    <w:rsid w:val="00780D2E"/>
    <w:rsid w:val="00792D47"/>
    <w:rsid w:val="007F65AE"/>
    <w:rsid w:val="00802623"/>
    <w:rsid w:val="0080574C"/>
    <w:rsid w:val="0082563B"/>
    <w:rsid w:val="008301B0"/>
    <w:rsid w:val="00835932"/>
    <w:rsid w:val="00846CD7"/>
    <w:rsid w:val="0085696E"/>
    <w:rsid w:val="00885559"/>
    <w:rsid w:val="008A2266"/>
    <w:rsid w:val="008A249E"/>
    <w:rsid w:val="008D4BB2"/>
    <w:rsid w:val="00904992"/>
    <w:rsid w:val="0091615A"/>
    <w:rsid w:val="00916CF0"/>
    <w:rsid w:val="009204E2"/>
    <w:rsid w:val="0095711D"/>
    <w:rsid w:val="009600E6"/>
    <w:rsid w:val="009A02E9"/>
    <w:rsid w:val="009B1A65"/>
    <w:rsid w:val="009B3617"/>
    <w:rsid w:val="009C41F3"/>
    <w:rsid w:val="009D5E9E"/>
    <w:rsid w:val="009D5EA7"/>
    <w:rsid w:val="009F2D17"/>
    <w:rsid w:val="009F2F40"/>
    <w:rsid w:val="009F68B9"/>
    <w:rsid w:val="00A0322C"/>
    <w:rsid w:val="00A03D30"/>
    <w:rsid w:val="00A20F8A"/>
    <w:rsid w:val="00A22CAA"/>
    <w:rsid w:val="00A303EF"/>
    <w:rsid w:val="00A41BA0"/>
    <w:rsid w:val="00AA5E47"/>
    <w:rsid w:val="00AC4D52"/>
    <w:rsid w:val="00AF561E"/>
    <w:rsid w:val="00B12330"/>
    <w:rsid w:val="00B307D7"/>
    <w:rsid w:val="00B429AB"/>
    <w:rsid w:val="00B83EBC"/>
    <w:rsid w:val="00B910AE"/>
    <w:rsid w:val="00B94A18"/>
    <w:rsid w:val="00BA3596"/>
    <w:rsid w:val="00BB5A40"/>
    <w:rsid w:val="00BD16F4"/>
    <w:rsid w:val="00BE227C"/>
    <w:rsid w:val="00C11653"/>
    <w:rsid w:val="00C3297E"/>
    <w:rsid w:val="00C4587A"/>
    <w:rsid w:val="00C935D2"/>
    <w:rsid w:val="00CB58A0"/>
    <w:rsid w:val="00CC38A8"/>
    <w:rsid w:val="00CF7DED"/>
    <w:rsid w:val="00D343A1"/>
    <w:rsid w:val="00D67930"/>
    <w:rsid w:val="00D750A1"/>
    <w:rsid w:val="00D824FA"/>
    <w:rsid w:val="00D87C98"/>
    <w:rsid w:val="00D9170A"/>
    <w:rsid w:val="00DA38B2"/>
    <w:rsid w:val="00DB28B7"/>
    <w:rsid w:val="00DB2A29"/>
    <w:rsid w:val="00DD0B82"/>
    <w:rsid w:val="00E066E1"/>
    <w:rsid w:val="00E16709"/>
    <w:rsid w:val="00E4215F"/>
    <w:rsid w:val="00E42235"/>
    <w:rsid w:val="00E90406"/>
    <w:rsid w:val="00E911F8"/>
    <w:rsid w:val="00EB71DB"/>
    <w:rsid w:val="00ED2621"/>
    <w:rsid w:val="00ED3959"/>
    <w:rsid w:val="00ED7F71"/>
    <w:rsid w:val="00EE276F"/>
    <w:rsid w:val="00F03372"/>
    <w:rsid w:val="00F26433"/>
    <w:rsid w:val="00F36438"/>
    <w:rsid w:val="00F441B0"/>
    <w:rsid w:val="00F6109C"/>
    <w:rsid w:val="00F701A7"/>
    <w:rsid w:val="00F76AFE"/>
    <w:rsid w:val="00F7747F"/>
    <w:rsid w:val="00FA09B6"/>
    <w:rsid w:val="00FC29EB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5F90"/>
  <w14:defaultImageDpi w14:val="32767"/>
  <w15:chartTrackingRefBased/>
  <w15:docId w15:val="{A92D4423-6EBD-46FF-A9C7-E9149A6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7D7"/>
    <w:pPr>
      <w:widowControl w:val="0"/>
      <w:autoSpaceDE w:val="0"/>
      <w:autoSpaceDN w:val="0"/>
      <w:spacing w:line="216" w:lineRule="exact"/>
      <w:ind w:left="120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EC3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83EC3"/>
    <w:rPr>
      <w:rFonts w:ascii="Arial" w:eastAsia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B307D7"/>
    <w:rPr>
      <w:rFonts w:ascii="Arial" w:eastAsia="Arial" w:hAnsi="Arial" w:cs="Arial"/>
      <w:b/>
      <w:bCs/>
      <w:sz w:val="19"/>
      <w:szCs w:val="19"/>
    </w:rPr>
  </w:style>
  <w:style w:type="paragraph" w:styleId="Revision">
    <w:name w:val="Revision"/>
    <w:hidden/>
    <w:uiPriority w:val="99"/>
    <w:semiHidden/>
    <w:rsid w:val="00483B33"/>
  </w:style>
  <w:style w:type="character" w:styleId="CommentReference">
    <w:name w:val="annotation reference"/>
    <w:basedOn w:val="DefaultParagraphFont"/>
    <w:uiPriority w:val="99"/>
    <w:semiHidden/>
    <w:unhideWhenUsed/>
    <w:rsid w:val="00483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3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S. Bobo</dc:creator>
  <cp:keywords/>
  <dc:description/>
  <cp:lastModifiedBy>Diane Krueger</cp:lastModifiedBy>
  <cp:revision>2</cp:revision>
  <dcterms:created xsi:type="dcterms:W3CDTF">2025-03-13T18:08:00Z</dcterms:created>
  <dcterms:modified xsi:type="dcterms:W3CDTF">2025-03-13T18:08:00Z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2024-12-02T18:57:14Z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7e9bea9c-3430-41db-acae-572fbcbc493b</vt:lpwstr>
  </property>
  <property fmtid="{D5CDD505-2E9C-101B-9397-08002B2CF9AE}" pid="8" name="MSIP_Label_792c8cef-6f2b-4af1-b4ac-d815ff795cd6_ContentBits">
    <vt:lpwstr>0</vt:lpwstr>
  </property>
</Properties>
</file>